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E w:val="0"/>
        <w:autoSpaceDN w:val="0"/>
        <w:spacing w:after="200"/>
      </w:pPr>
      <w:r>
        <w:rPr>
          <w:rFonts w:ascii="맑은 고딕" w:hAnsi="맑은 고딕" w:eastAsia="맑은 고딕" w:cs="맑은 고딕"/>
          <w:b/>
          <w:color w:val="2A78D6"/>
          <w:sz w:val="18"/>
        </w:rPr>
        <w:t xml:space="preserve"> 시민 정책 제안 · 2026년 10월 · 공식 검토 요청 </w:t>
      </w:r>
    </w:p>
    <w:p>
      <w:pPr>
        <w:pStyle w:val="Heading1"/>
        <w:autoSpaceDE w:val="0"/>
        <w:autoSpaceDN w:val="0"/>
        <w:spacing w:after="200"/>
      </w:pPr>
      <w:r>
        <w:rPr>
          <w:rFonts w:ascii="맑은 고딕" w:hAnsi="맑은 고딕" w:eastAsia="맑은 고딕" w:cs="맑은 고딕"/>
          <w:b/>
          <w:color w:val="173F5F"/>
          <w:sz w:val="50"/>
        </w:rPr>
        <w:t>7호선 남성역–숭실대입구역</w:t>
      </w:r>
      <w:r>
        <w:rPr>
          <w:rFonts w:ascii="맑은 고딕" w:hAnsi="맑은 고딕" w:eastAsia="맑은 고딕" w:cs="맑은 고딕"/>
          <w:b/>
          <w:color w:val="173F5F"/>
          <w:sz w:val="50"/>
        </w:rPr>
        <w:br/>
      </w:r>
      <w:r>
        <w:rPr>
          <w:rFonts w:ascii="맑은 고딕" w:hAnsi="맑은 고딕" w:eastAsia="맑은 고딕" w:cs="맑은 고딕"/>
          <w:b/>
          <w:color w:val="173F5F"/>
          <w:sz w:val="50"/>
        </w:rPr>
        <w:t>중간역 신설 검토 제안서</w:t>
      </w:r>
    </w:p>
    <w:p>
      <w:pPr>
        <w:autoSpaceDE w:val="0"/>
        <w:autoSpaceDN w:val="0"/>
        <w:spacing w:after="160"/>
      </w:pPr>
      <w:r>
        <w:rPr>
          <w:rFonts w:ascii="맑은 고딕" w:hAnsi="맑은 고딕" w:eastAsia="맑은 고딕" w:cs="맑은 고딕"/>
          <w:b/>
          <w:color w:val="1D2A38"/>
          <w:sz w:val="22"/>
        </w:rPr>
        <w:t>목적:</w:t>
      </w:r>
      <w:r>
        <w:rPr>
          <w:rFonts w:ascii="맑은 고딕" w:hAnsi="맑은 고딕" w:eastAsia="맑은 고딕" w:cs="맑은 고딕"/>
          <w:color w:val="1D2A38"/>
          <w:sz w:val="22"/>
        </w:rPr>
        <w:t xml:space="preserve"> 약 2km 역간 구간의 정중앙(소공원2–상도중학교 사이 사거리)에 중간역을 두는 안에 대해, 접근성 공백·현재와 미래 수요·기존 열차 지체·재원 분담을 함께 검토하는 </w:t>
      </w:r>
      <w:r>
        <w:rPr>
          <w:rFonts w:ascii="맑은 고딕" w:hAnsi="맑은 고딕" w:eastAsia="맑은 고딕" w:cs="맑은 고딕"/>
          <w:b/>
          <w:color w:val="1D2A38"/>
          <w:sz w:val="22"/>
        </w:rPr>
        <w:t>“타당성 및 기술검토 착수”</w:t>
      </w:r>
      <w:r>
        <w:rPr>
          <w:rFonts w:ascii="맑은 고딕" w:hAnsi="맑은 고딕" w:eastAsia="맑은 고딕" w:cs="맑은 고딕"/>
          <w:color w:val="1D2A38"/>
          <w:sz w:val="22"/>
        </w:rPr>
        <w:t>를 요청하는 정책 제안.</w:t>
      </w:r>
    </w:p>
    <w:tbl>
      <w:tblPr>
        <w:tblW w:w="9445" w:type="dxa"/>
        <w:jc w:val="center"/>
        <w:tblLayout w:type="fixed"/>
        <w:tblLook w:firstColumn="1" w:firstRow="1" w:lastColumn="0" w:lastRow="0" w:noHBand="0" w:noVBand="1" w:val="04A0"/>
      </w:tblPr>
      <w:tblGrid>
        <w:gridCol w:w="2361"/>
        <w:gridCol w:w="2361"/>
        <w:gridCol w:w="2361"/>
        <w:gridCol w:w="2361"/>
      </w:tblGrid>
      <w:tr>
        <w:trPr>
          <w:cantSplit/>
        </w:trPr>
        <w:tc>
          <w:tcPr>
            <w:tcW w:type="dxa" w:w="2361"/>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49 : 51</w:t>
            </w:r>
          </w:p>
          <w:p>
            <w:pPr>
              <w:autoSpaceDE w:val="0"/>
              <w:autoSpaceDN w:val="0"/>
              <w:spacing w:after="0"/>
            </w:pPr>
            <w:r>
              <w:rPr>
                <w:rFonts w:ascii="맑은 고딕" w:hAnsi="맑은 고딕" w:eastAsia="맑은 고딕" w:cs="맑은 고딕"/>
                <w:color w:val="5B6775"/>
                <w:sz w:val="16"/>
              </w:rPr>
              <w:t>두 역 사이 위치 (남성역 0.95km · 숭실대입구역 0.99km, 직선)</w:t>
            </w:r>
          </w:p>
        </w:tc>
        <w:tc>
          <w:tcPr>
            <w:tcW w:type="dxa" w:w="2361"/>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약 2.0km</w:t>
            </w:r>
          </w:p>
          <w:p>
            <w:pPr>
              <w:autoSpaceDE w:val="0"/>
              <w:autoSpaceDN w:val="0"/>
              <w:spacing w:after="0"/>
            </w:pPr>
            <w:r>
              <w:rPr>
                <w:rFonts w:ascii="맑은 고딕" w:hAnsi="맑은 고딕" w:eastAsia="맑은 고딕" w:cs="맑은 고딕"/>
                <w:color w:val="5B6775"/>
                <w:sz w:val="16"/>
              </w:rPr>
              <w:t>남성–숭실대입구 역간, 이웃 구간(0.9~1.0km)의 약 2배</w:t>
            </w:r>
          </w:p>
        </w:tc>
        <w:tc>
          <w:tcPr>
            <w:tcW w:type="dxa" w:w="2361"/>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5,073세대</w:t>
            </w:r>
          </w:p>
          <w:p>
            <w:pPr>
              <w:autoSpaceDE w:val="0"/>
              <w:autoSpaceDN w:val="0"/>
              <w:spacing w:after="0"/>
            </w:pPr>
            <w:r>
              <w:rPr>
                <w:rFonts w:ascii="맑은 고딕" w:hAnsi="맑은 고딕" w:eastAsia="맑은 고딕" w:cs="맑은 고딕"/>
                <w:color w:val="5B6775"/>
                <w:sz w:val="16"/>
              </w:rPr>
              <w:t>핵심 4개 단지 (단지 중심 기준 직선 500m 역세권 세대 0 → 3,812)</w:t>
            </w:r>
          </w:p>
        </w:tc>
        <w:tc>
          <w:tcPr>
            <w:tcW w:type="dxa" w:w="2361"/>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2A78D6"/>
                <w:sz w:val="30"/>
              </w:rPr>
              <w:t>12분 → 6분</w:t>
            </w:r>
          </w:p>
          <w:p>
            <w:pPr>
              <w:autoSpaceDE w:val="0"/>
              <w:autoSpaceDN w:val="0"/>
              <w:spacing w:after="0"/>
            </w:pPr>
            <w:r>
              <w:rPr>
                <w:rFonts w:ascii="맑은 고딕" w:hAnsi="맑은 고딕" w:eastAsia="맑은 고딕" w:cs="맑은 고딕"/>
                <w:color w:val="5B6775"/>
                <w:sz w:val="16"/>
              </w:rPr>
              <w:t>핵심 단지 세대 가중 평균 도보 (추정, 평지 기준)</w:t>
            </w:r>
          </w:p>
        </w:tc>
      </w:tr>
    </w:tbl>
    <w:p>
      <w:pPr>
        <w:autoSpaceDE w:val="0"/>
        <w:autoSpaceDN w:val="0"/>
        <w:spacing w:after="80" w:line="168" w:lineRule="auto"/>
      </w:pPr>
    </w:p>
    <w:p>
      <w:pPr>
        <w:pBdr>
          <w:bottom w:val="single" w:sz="6" w:space="1" w:color="c9d3de"/>
        </w:pBdr>
        <w:autoSpaceDE w:val="0"/>
        <w:autoSpaceDN w:val="0"/>
        <w:spacing w:after="120"/>
      </w:pPr>
    </w:p>
    <w:p>
      <w:pPr>
        <w:pStyle w:val="Heading2"/>
        <w:pBdr>
          <w:bottom w:val="single" w:sz="8" w:space="3" w:color="c9d3de"/>
        </w:pBdr>
        <w:autoSpaceDE w:val="0"/>
        <w:autoSpaceDN w:val="0"/>
      </w:pPr>
      <w:r>
        <w:rPr>
          <w:rFonts w:ascii="맑은 고딕" w:hAnsi="맑은 고딕" w:eastAsia="맑은 고딕" w:cs="맑은 고딕"/>
          <w:b/>
          <w:color w:val="173F5F"/>
          <w:sz w:val="32"/>
        </w:rPr>
        <w:t>Executive Summary</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제안의 핵심</w:t>
            </w:r>
            <w:r>
              <w:br/>
            </w:r>
            <w:r>
              <w:rPr>
                <w:rFonts w:ascii="맑은 고딕" w:hAnsi="맑은 고딕" w:eastAsia="맑은 고딕" w:cs="맑은 고딕"/>
                <w:color w:val="1D2A38"/>
                <w:sz w:val="19"/>
              </w:rPr>
              <w:t>본 사업은 “역과 역 사이가 멀다”는 단일 민원이 아니라, 약 2km 역간 구간의 정중앙에 형성된 대규모 주거·교육·저층주거 생활권의 접근성 공백을 보완하고, 기존역 수요의 분산과 버스·승용차에서 철도로의 전환, 미래 정비사업 대응, 지역경제·지방재정 파급효과를 함께 검토하는 사업이다.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왜 이 지점인가: 두 역의 정중앙</w:t>
            </w:r>
            <w:r>
              <w:br/>
            </w:r>
            <w:r>
              <w:rPr>
                <w:rFonts w:ascii="맑은 고딕" w:hAnsi="맑은 고딕" w:eastAsia="맑은 고딕" w:cs="맑은 고딕"/>
                <w:color w:val="1D2A38"/>
                <w:sz w:val="19"/>
              </w:rPr>
              <w:t xml:space="preserve">제안 위치는 </w:t>
            </w:r>
            <w:r>
              <w:rPr>
                <w:rFonts w:ascii="맑은 고딕" w:hAnsi="맑은 고딕" w:eastAsia="맑은 고딕" w:cs="맑은 고딕"/>
                <w:b/>
                <w:color w:val="1D2A38"/>
                <w:sz w:val="19"/>
              </w:rPr>
              <w:t>소공원2와 상도중학교 사이 사거리</w:t>
            </w:r>
            <w:r>
              <w:rPr>
                <w:rFonts w:ascii="맑은 고딕" w:hAnsi="맑은 고딕" w:eastAsia="맑은 고딕" w:cs="맑은 고딕"/>
                <w:color w:val="1D2A38"/>
                <w:sz w:val="19"/>
              </w:rPr>
              <w:t xml:space="preserve">다. 남성역에서 직선 약 </w:t>
            </w:r>
            <w:r>
              <w:rPr>
                <w:rFonts w:ascii="맑은 고딕" w:hAnsi="맑은 고딕" w:eastAsia="맑은 고딕" w:cs="맑은 고딕"/>
                <w:b/>
                <w:color w:val="1D2A38"/>
                <w:sz w:val="19"/>
              </w:rPr>
              <w:t>0.95km</w:t>
            </w:r>
            <w:r>
              <w:rPr>
                <w:rFonts w:ascii="맑은 고딕" w:hAnsi="맑은 고딕" w:eastAsia="맑은 고딕" w:cs="맑은 고딕"/>
                <w:color w:val="1D2A38"/>
                <w:sz w:val="19"/>
              </w:rPr>
              <w:t xml:space="preserve">, 숭실대입구역에서 약 </w:t>
            </w:r>
            <w:r>
              <w:rPr>
                <w:rFonts w:ascii="맑은 고딕" w:hAnsi="맑은 고딕" w:eastAsia="맑은 고딕" w:cs="맑은 고딕"/>
                <w:b/>
                <w:color w:val="1D2A38"/>
                <w:sz w:val="19"/>
              </w:rPr>
              <w:t>0.99km</w:t>
            </w:r>
            <w:r>
              <w:rPr>
                <w:rFonts w:ascii="맑은 고딕" w:hAnsi="맑은 고딕" w:eastAsia="맑은 고딕" w:cs="맑은 고딕"/>
                <w:color w:val="1D2A38"/>
                <w:sz w:val="19"/>
              </w:rPr>
              <w:t xml:space="preserve">로 전 구간의 </w:t>
            </w:r>
            <w:r>
              <w:rPr>
                <w:rFonts w:ascii="맑은 고딕" w:hAnsi="맑은 고딕" w:eastAsia="맑은 고딕" w:cs="맑은 고딕"/>
                <w:b/>
                <w:color w:val="1D2A38"/>
                <w:sz w:val="19"/>
              </w:rPr>
              <w:t>49 : 51</w:t>
            </w:r>
            <w:r>
              <w:rPr>
                <w:rFonts w:ascii="맑은 고딕" w:hAnsi="맑은 고딕" w:eastAsia="맑은 고딕" w:cs="맑은 고딕"/>
                <w:color w:val="1D2A38"/>
                <w:sz w:val="19"/>
              </w:rPr>
              <w:t xml:space="preserve">이며, 두 역을 잇는 직선의 중점에서 약 36m 떨어져 있다(좌표 오차 ±30~50m). </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접근성이 가장 낮은 지점</w:t>
            </w:r>
            <w:r>
              <w:rPr>
                <w:rFonts w:ascii="맑은 고딕" w:hAnsi="맑은 고딕" w:eastAsia="맑은 고딕" w:cs="맑은 고딕"/>
                <w:color w:val="1D2A38"/>
                <w:sz w:val="19"/>
              </w:rPr>
              <w:t>: 구간 안에서 가까운 역까지의 거리가 가장 먼 곳이다(약 0.95km). 이웃 구간에서 같은 값은 0.45~0.50km다.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역세권 공백을 정확히 메움</w:t>
            </w:r>
            <w:r>
              <w:rPr>
                <w:rFonts w:ascii="맑은 고딕" w:hAnsi="맑은 고딕" w:eastAsia="맑은 고딕" w:cs="맑은 고딕"/>
                <w:color w:val="1D2A38"/>
                <w:sz w:val="19"/>
              </w:rPr>
              <w:t>: 직선 500m 역세권 기준으로 두 역이 덮지 못하는 띠가 약 0.94km인데, 이 지점의 500m 반경(지름 1.0km)이 겹침 거의 없이 메운다(기존 역세권과 겹치는 폭은 남성역 쪽 약 49m, 숭실대입구역 쪽 약 7m).</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이웃 구간과 같은 간격</w:t>
            </w:r>
            <w:r>
              <w:rPr>
                <w:rFonts w:ascii="맑은 고딕" w:hAnsi="맑은 고딕" w:eastAsia="맑은 고딕" w:cs="맑은 고딕"/>
                <w:color w:val="1D2A38"/>
                <w:sz w:val="19"/>
              </w:rPr>
              <w:t>: 신설 후 0.95km·0.99km로, 이웃 구간(0.9~1.0km)과 7호선 평균(약 1.14km)과 비슷한 수준이 된다.</w:t>
            </w:r>
          </w:p>
        </w:tc>
      </w:tr>
    </w:tbl>
    <w:p>
      <w:pPr>
        <w:autoSpaceDE w:val="0"/>
        <w:autoSpaceDN w:val="0"/>
        <w:spacing w:after="60" w:line="168" w:lineRule="auto"/>
      </w:pPr>
    </w:p>
    <w:p>
      <w:pPr>
        <w:keepNext/>
        <w:autoSpaceDE w:val="0"/>
        <w:autoSpaceDN w:val="0"/>
        <w:spacing w:before="80" w:after="40"/>
        <w:jc w:val="center"/>
      </w:pPr>
      <w:r>
        <w:drawing>
          <wp:inline xmlns:a="http://schemas.openxmlformats.org/drawingml/2006/main" xmlns:pic="http://schemas.openxmlformats.org/drawingml/2006/picture">
            <wp:extent cx="6048000" cy="3991680"/>
            <wp:docPr id="1" name="Picture 1"/>
            <wp:cNvGraphicFramePr>
              <a:graphicFrameLocks noChangeAspect="1"/>
            </wp:cNvGraphicFramePr>
            <a:graphic>
              <a:graphicData uri="http://schemas.openxmlformats.org/drawingml/2006/picture">
                <pic:pic>
                  <pic:nvPicPr>
                    <pic:cNvPr id="0" name="image.png"/>
                    <pic:cNvPicPr/>
                  </pic:nvPicPr>
                  <pic:blipFill>
                    <a:blip r:embed="rId11"/>
                    <a:stretch>
                      <a:fillRect/>
                    </a:stretch>
                  </pic:blipFill>
                  <pic:spPr>
                    <a:xfrm>
                      <a:off x="0" y="0"/>
                      <a:ext cx="6048000" cy="39916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직선거리 기준 개략도. 위: 직선 500m 역세권(통상 기준) 범위, 아래: 가장 가까운 역까지의 직선거리. 좌표 오차 ±30~50m이며, 실제 선로 연장 기준 위치는 서울시 자료로 확인한다.</w:t>
      </w:r>
    </w:p>
    <w:p>
      <w:pPr>
        <w:pStyle w:val="Heading3"/>
        <w:autoSpaceDE w:val="0"/>
        <w:autoSpaceDN w:val="0"/>
      </w:pPr>
      <w:r>
        <w:rPr>
          <w:rFonts w:ascii="맑은 고딕" w:hAnsi="맑은 고딕" w:eastAsia="맑은 고딕" w:cs="맑은 고딕"/>
          <w:b/>
          <w:color w:val="173F5F"/>
          <w:sz w:val="24"/>
        </w:rPr>
        <w:t>신설 전후 한눈에 보기</w:t>
      </w:r>
    </w:p>
    <w:p>
      <w:pPr>
        <w:keepNext/>
        <w:autoSpaceDE w:val="0"/>
        <w:autoSpaceDN w:val="0"/>
        <w:spacing w:before="80" w:after="40"/>
        <w:jc w:val="center"/>
      </w:pPr>
      <w:r>
        <w:drawing>
          <wp:inline xmlns:a="http://schemas.openxmlformats.org/drawingml/2006/main" xmlns:pic="http://schemas.openxmlformats.org/drawingml/2006/picture">
            <wp:extent cx="6048000" cy="3265920"/>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048000" cy="32659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핵심 4개 단지 기준. 직선거리·추정이며 출입구 도보경로·경사 반영 전 값이다. 정거장 위치 확정 시 재산정한다.</w:t>
      </w:r>
    </w:p>
    <w:p>
      <w:pPr>
        <w:autoSpaceDE w:val="0"/>
        <w:autoSpaceDN w:val="0"/>
        <w:spacing w:after="120"/>
      </w:pPr>
      <w:r>
        <w:rPr>
          <w:rFonts w:ascii="맑은 고딕" w:hAnsi="맑은 고딕" w:eastAsia="맑은 고딕" w:cs="맑은 고딕"/>
          <w:color w:val="1D2A38"/>
          <w:sz w:val="20"/>
        </w:rPr>
        <w:t>2024년 보도된 현장 취재에서는 상도중학교 기준 남성역까지 도보 19분, 숭실대입구역까지 26분이 측정되었고, 지역의 언덕길과 버스 접근의 불편이 함께 지적되었다. 서울시는 당시 중간역 신설에 대해 수백억원 이상의 비용, 타당성, 선로 및 공사 난이도를 검토해야 한다는 입장을 밝혔다. [S1]</w:t>
      </w:r>
    </w:p>
    <w:p>
      <w:pPr>
        <w:autoSpaceDE w:val="0"/>
        <w:autoSpaceDN w:val="0"/>
        <w:spacing w:after="120"/>
      </w:pPr>
      <w:r>
        <w:rPr>
          <w:rFonts w:ascii="맑은 고딕" w:hAnsi="맑은 고딕" w:eastAsia="맑은 고딕" w:cs="맑은 고딕"/>
          <w:b/>
          <w:color w:val="1D2A38"/>
          <w:sz w:val="20"/>
        </w:rPr>
        <w:t>따라서 본 제안은 “당장 착공”을 요구하기보다</w:t>
      </w:r>
      <w:r>
        <w:rPr>
          <w:rFonts w:ascii="맑은 고딕" w:hAnsi="맑은 고딕" w:eastAsia="맑은 고딕" w:cs="맑은 고딕"/>
          <w:color w:val="1D2A38"/>
          <w:sz w:val="20"/>
        </w:rPr>
        <w:t xml:space="preserve"> 기존역 대비 실제 보행개선, 현재·미래 수요, 공사비·기술성, 기존 열차 지체, 재정효과를 공식 검토하는 단계적 접근을 제안한다.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서울시에 요청하는 것</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 xml:space="preserve">서울시가 3차 철도망에서 쓴 “역까지 10분” 접근성 잣대로 중간역 신설에 대한 </w:t>
            </w:r>
            <w:r>
              <w:rPr>
                <w:rFonts w:ascii="맑은 고딕" w:hAnsi="맑은 고딕" w:eastAsia="맑은 고딕" w:cs="맑은 고딕"/>
                <w:b/>
                <w:color w:val="1D2A38"/>
                <w:sz w:val="19"/>
              </w:rPr>
              <w:t>공식 타당성·기술 검토</w:t>
            </w:r>
            <w:r>
              <w:rPr>
                <w:rFonts w:ascii="맑은 고딕" w:hAnsi="맑은 고딕" w:eastAsia="맑은 고딕" w:cs="맑은 고딕"/>
                <w:color w:val="1D2A38"/>
                <w:sz w:val="19"/>
              </w:rPr>
              <w:t xml:space="preserve"> 착수(사전 타당성조사 방식 포함, 도시철도망 계획 대상 여부와 반영 시기 확인)</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 xml:space="preserve">검토에 필요한 자료(구간 단면 수송량, 선로 선형·심도, 정차 지연)의 </w:t>
            </w:r>
            <w:r>
              <w:rPr>
                <w:rFonts w:ascii="맑은 고딕" w:hAnsi="맑은 고딕" w:eastAsia="맑은 고딕" w:cs="맑은 고딕"/>
                <w:b/>
                <w:color w:val="1D2A38"/>
                <w:sz w:val="19"/>
              </w:rPr>
              <w:t>공개·협조</w:t>
            </w:r>
          </w:p>
          <w:p>
            <w:pPr>
              <w:autoSpaceDE w:val="0"/>
              <w:autoSpaceDN w:val="0"/>
              <w:spacing w:after="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 xml:space="preserve">서울시·자치구·정비사업 간 </w:t>
            </w:r>
            <w:r>
              <w:rPr>
                <w:rFonts w:ascii="맑은 고딕" w:hAnsi="맑은 고딕" w:eastAsia="맑은 고딕" w:cs="맑은 고딕"/>
                <w:b/>
                <w:color w:val="1D2A38"/>
                <w:sz w:val="19"/>
              </w:rPr>
              <w:t>재원 분담 협의 가능성</w:t>
            </w:r>
            <w:r>
              <w:rPr>
                <w:rFonts w:ascii="맑은 고딕" w:hAnsi="맑은 고딕" w:eastAsia="맑은 고딕" w:cs="맑은 고딕"/>
                <w:color w:val="1D2A38"/>
                <w:sz w:val="19"/>
              </w:rPr>
              <w:t xml:space="preserve"> 검토</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제출 요지 5문장</w:t>
            </w:r>
          </w:p>
          <w:p>
            <w:pPr>
              <w:autoSpaceDE w:val="0"/>
              <w:autoSpaceDN w:val="0"/>
              <w:spacing w:after="40"/>
              <w:ind w:left="312" w:hanging="255"/>
            </w:pPr>
            <w:r>
              <w:rPr>
                <w:rFonts w:ascii="맑은 고딕" w:hAnsi="맑은 고딕" w:eastAsia="맑은 고딕" w:cs="맑은 고딕"/>
                <w:b/>
                <w:color w:val="1D2A38"/>
                <w:sz w:val="19"/>
              </w:rPr>
              <w:t xml:space="preserve">1. </w:t>
            </w:r>
            <w:r>
              <w:rPr>
                <w:rFonts w:ascii="맑은 고딕" w:hAnsi="맑은 고딕" w:eastAsia="맑은 고딕" w:cs="맑은 고딕"/>
                <w:color w:val="1D2A38"/>
                <w:sz w:val="19"/>
              </w:rPr>
              <w:t>“중간역이 필요한가”가 아니라 “이 구간에 정거장을 추가하는 공공투자를 할 가치가 있는가”를 공식 기준으로 검토해 달라는 제안이다.</w:t>
            </w:r>
          </w:p>
          <w:p>
            <w:pPr>
              <w:autoSpaceDE w:val="0"/>
              <w:autoSpaceDN w:val="0"/>
              <w:spacing w:after="40"/>
              <w:ind w:left="312" w:hanging="255"/>
            </w:pPr>
            <w:r>
              <w:rPr>
                <w:rFonts w:ascii="맑은 고딕" w:hAnsi="맑은 고딕" w:eastAsia="맑은 고딕" w:cs="맑은 고딕"/>
                <w:b/>
                <w:color w:val="1D2A38"/>
                <w:sz w:val="19"/>
              </w:rPr>
              <w:t xml:space="preserve">2. </w:t>
            </w:r>
            <w:r>
              <w:rPr>
                <w:rFonts w:ascii="맑은 고딕" w:hAnsi="맑은 고딕" w:eastAsia="맑은 고딕" w:cs="맑은 고딕"/>
                <w:color w:val="1D2A38"/>
                <w:sz w:val="19"/>
              </w:rPr>
              <w:t>위치는 소공원2와 상도중학교 사이 사거리로, 남성역·숭실대입구역에서 각각 직선 약 0.95km·0.99km(49:51)인 두 역의 정중앙이며 구간 안에서 가까운 역까지 가장 먼 지점이다.</w:t>
            </w:r>
          </w:p>
          <w:p>
            <w:pPr>
              <w:autoSpaceDE w:val="0"/>
              <w:autoSpaceDN w:val="0"/>
              <w:spacing w:after="40"/>
              <w:ind w:left="312" w:hanging="255"/>
            </w:pPr>
            <w:r>
              <w:rPr>
                <w:rFonts w:ascii="맑은 고딕" w:hAnsi="맑은 고딕" w:eastAsia="맑은 고딕" w:cs="맑은 고딕"/>
                <w:b/>
                <w:color w:val="1D2A38"/>
                <w:sz w:val="19"/>
              </w:rPr>
              <w:t xml:space="preserve">3. </w:t>
            </w:r>
            <w:r>
              <w:rPr>
                <w:rFonts w:ascii="맑은 고딕" w:hAnsi="맑은 고딕" w:eastAsia="맑은 고딕" w:cs="맑은 고딕"/>
                <w:color w:val="1D2A38"/>
                <w:sz w:val="19"/>
              </w:rPr>
              <w:t>공사비와 기존 승객 시간손실을 비용에 넣은 정식 B/C 검토를 요청하며, 불리한 요소를 숨기지 않는다.</w:t>
            </w:r>
          </w:p>
          <w:p>
            <w:pPr>
              <w:autoSpaceDE w:val="0"/>
              <w:autoSpaceDN w:val="0"/>
              <w:spacing w:after="40"/>
              <w:ind w:left="312" w:hanging="255"/>
            </w:pPr>
            <w:r>
              <w:rPr>
                <w:rFonts w:ascii="맑은 고딕" w:hAnsi="맑은 고딕" w:eastAsia="맑은 고딕" w:cs="맑은 고딕"/>
                <w:b/>
                <w:color w:val="1D2A38"/>
                <w:sz w:val="19"/>
              </w:rPr>
              <w:t xml:space="preserve">4. </w:t>
            </w:r>
            <w:r>
              <w:rPr>
                <w:rFonts w:ascii="맑은 고딕" w:hAnsi="맑은 고딕" w:eastAsia="맑은 고딕" w:cs="맑은 고딕"/>
                <w:color w:val="1D2A38"/>
                <w:sz w:val="19"/>
              </w:rPr>
              <w:t>남성·숭실대입구·상도 3개 역은 2025년 하루 평균 약 2.1~2.7만 명이 이용하고, 신설역 수요는 전환분과 순증분으로 나눠 계측해야 한다.</w:t>
            </w:r>
          </w:p>
          <w:p>
            <w:pPr>
              <w:autoSpaceDE w:val="0"/>
              <w:autoSpaceDN w:val="0"/>
              <w:spacing w:after="0"/>
              <w:ind w:left="312" w:hanging="255"/>
            </w:pPr>
            <w:r>
              <w:rPr>
                <w:rFonts w:ascii="맑은 고딕" w:hAnsi="맑은 고딕" w:eastAsia="맑은 고딕" w:cs="맑은 고딕"/>
                <w:b/>
                <w:color w:val="1D2A38"/>
                <w:sz w:val="19"/>
              </w:rPr>
              <w:t xml:space="preserve">5. </w:t>
            </w:r>
            <w:r>
              <w:rPr>
                <w:rFonts w:ascii="맑은 고딕" w:hAnsi="맑은 고딕" w:eastAsia="맑은 고딕" w:cs="맑은 고딕"/>
                <w:color w:val="1D2A38"/>
                <w:sz w:val="19"/>
              </w:rPr>
              <w:t>핵심 주거기반 5,073세대와 이미 계획된 정비사업 순증 +820세대(성현동 +624세대는 위치 확인 필요)가 장래 수요 검토의 근거이며, 최종 승강장 위치는 서울시의 선로·구조 기술검토로 확정한다.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서울시 정책과 같은 잣대</w:t>
            </w:r>
            <w:r>
              <w:br/>
            </w:r>
            <w:r>
              <w:rPr>
                <w:rFonts w:ascii="맑은 고딕" w:hAnsi="맑은 고딕" w:eastAsia="맑은 고딕" w:cs="맑은 고딕"/>
                <w:color w:val="1D2A38"/>
                <w:sz w:val="19"/>
              </w:rPr>
              <w:t xml:space="preserve">서울시는 3차 철도망에서 서울 427개 행정동 중 역까지 10분 이상 걸리는 곳이 108곳, 20분 이상이 23곳이라며 “서울 전역 10분 역세권”을 목표로 내세웠다. [S6] 이 지표는 행정동 평균이라 동 안의 경사지 격차가 드러나지 않는다. 본 제안은 같은 접근시간 지표를 </w:t>
            </w:r>
            <w:r>
              <w:rPr>
                <w:rFonts w:ascii="맑은 고딕" w:hAnsi="맑은 고딕" w:eastAsia="맑은 고딕" w:cs="맑은 고딕"/>
                <w:b/>
                <w:color w:val="1D2A38"/>
                <w:sz w:val="19"/>
              </w:rPr>
              <w:t>동 내부 지점별</w:t>
            </w:r>
            <w:r>
              <w:rPr>
                <w:rFonts w:ascii="맑은 고딕" w:hAnsi="맑은 고딕" w:eastAsia="맑은 고딕" w:cs="맑은 고딕"/>
                <w:color w:val="1D2A38"/>
                <w:sz w:val="19"/>
              </w:rPr>
              <w:t>로 측정해 보완하자는 것이다.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60"/>
            </w:pPr>
            <w:r>
              <w:rPr>
                <w:rFonts w:ascii="맑은 고딕" w:hAnsi="맑은 고딕" w:eastAsia="맑은 고딕" w:cs="맑은 고딕"/>
                <w:b/>
                <w:color w:val="1D2A38"/>
                <w:sz w:val="19"/>
              </w:rPr>
              <w:t>투자 대비 효과 — 정책성은 구체적으로, 경제성은 조건부로 제시한다</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정책성</w:t>
            </w:r>
            <w:r>
              <w:rPr>
                <w:rFonts w:ascii="맑은 고딕" w:hAnsi="맑은 고딕" w:eastAsia="맑은 고딕" w:cs="맑은 고딕"/>
                <w:color w:val="1D2A38"/>
                <w:sz w:val="19"/>
              </w:rPr>
              <w:t>: 핵심 4개 단지의 평균 도보 접근 약 12분 → 약 6분, 직선 500m 역세권 세대 0 → 3,812세대. 신규 500m 역세권 인구 1인당 사업비는 서울시 3차 계획 평균(약 2,555만 원/명)의 13~31%(건설비 300~700억 원 가정, 정의가 달라 참고용) [S39].</w:t>
            </w:r>
          </w:p>
          <w:p>
            <w:pPr>
              <w:autoSpaceDE w:val="0"/>
              <w:autoSpaceDN w:val="0"/>
              <w:spacing w:after="4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경제성</w:t>
            </w:r>
            <w:r>
              <w:rPr>
                <w:rFonts w:ascii="맑은 고딕" w:hAnsi="맑은 고딕" w:eastAsia="맑은 고딕" w:cs="맑은 고딕"/>
                <w:color w:val="1D2A38"/>
                <w:sz w:val="19"/>
              </w:rPr>
              <w:t xml:space="preserve">: 공개 자료 스크리닝 B/C는 0.12~0.58(건설비 300억 원, 시나리오별)로 기준 0.7에 미달하며, 연 비용의 77~88%는 건설비가 아니라 기존 승객의 시간손실이다. 0.7에 닿으려면 낙관 수요(일 8.9천 명)·구간 단면 수송량 12만 명 이하·정차 지연 36초가 함께 충족돼야 한다(7·9절). 그래서 서울교통공사의 </w:t>
            </w:r>
            <w:r>
              <w:rPr>
                <w:rFonts w:ascii="맑은 고딕" w:hAnsi="맑은 고딕" w:eastAsia="맑은 고딕" w:cs="맑은 고딕"/>
                <w:b/>
                <w:color w:val="1D2A38"/>
                <w:sz w:val="19"/>
              </w:rPr>
              <w:t>단면 수송량·정차 지연 실측</w:t>
            </w:r>
            <w:r>
              <w:rPr>
                <w:rFonts w:ascii="맑은 고딕" w:hAnsi="맑은 고딕" w:eastAsia="맑은 고딕" w:cs="맑은 고딕"/>
                <w:color w:val="1D2A38"/>
                <w:sz w:val="19"/>
              </w:rPr>
              <w:t>이 판단을 가른다.</w:t>
            </w:r>
          </w:p>
          <w:p>
            <w:pPr>
              <w:autoSpaceDE w:val="0"/>
              <w:autoSpaceDN w:val="0"/>
              <w:spacing w:after="0"/>
              <w:ind w:left="312" w:hanging="255"/>
            </w:pPr>
            <w:r>
              <w:rPr>
                <w:rFonts w:ascii="맑은 고딕" w:hAnsi="맑은 고딕" w:eastAsia="맑은 고딕" w:cs="맑은 고딕"/>
                <w:color w:val="1D2A38"/>
                <w:sz w:val="19"/>
              </w:rPr>
              <w:t xml:space="preserve">• </w:t>
            </w:r>
            <w:r>
              <w:rPr>
                <w:rFonts w:ascii="맑은 고딕" w:hAnsi="맑은 고딕" w:eastAsia="맑은 고딕" w:cs="맑은 고딕"/>
                <w:b/>
                <w:color w:val="1D2A38"/>
                <w:sz w:val="19"/>
              </w:rPr>
              <w:t>재정</w:t>
            </w:r>
            <w:r>
              <w:rPr>
                <w:rFonts w:ascii="맑은 고딕" w:hAnsi="맑은 고딕" w:eastAsia="맑은 고딕" w:cs="맑은 고딕"/>
                <w:color w:val="1D2A38"/>
                <w:sz w:val="19"/>
              </w:rPr>
              <w:t>: 지방세 환류는 연 약 5~18억 원의 보조 효과이며 건설비 회수의 근거로 주장하지 않는다(11절). 재원은 원인자·수익자 분담 선례를 참고해 협의를 요청한다(10절).</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검토자가 1분 안에 보는 핵심</w:t>
      </w:r>
    </w:p>
    <w:tbl>
      <w:tblPr>
        <w:tblW w:w="9751" w:type="dxa"/>
        <w:jc w:val="center"/>
        <w:tblLayout w:type="fixed"/>
        <w:tblLook w:firstColumn="1" w:firstRow="1" w:lastColumn="0" w:lastRow="0" w:noHBand="0" w:noVBand="1" w:val="04A0"/>
      </w:tblPr>
      <w:tblGrid>
        <w:gridCol w:w="1881"/>
        <w:gridCol w:w="3934"/>
        <w:gridCol w:w="3934"/>
      </w:tblGrid>
      <w:tr>
        <w:trPr>
          <w:cantSplit/>
          <w:tblHeader/>
        </w:trPr>
        <w:tc>
          <w:tcPr>
            <w:tcW w:type="dxa" w:w="188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현재 확인 내용</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검토 의미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위치</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소공원2–상도중학교 사이 사거리. 남성역 0.95km·숭실대입구역 0.99km(직선, 49:51), 직선 중점에서 약 36m (좌표 오차 ±30~50m)</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구간 내 접근성 최저 지점, 역세권 공백 0.94km를 메움</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역간 공간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공개 좌표 직선 약 1.94km, 7호선 표기 2.0km (이웃 구간 0.9~1.0km, 7호선 평균 약 1.14km [S38])</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2km 역간 구간</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구릉지·보행</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상도중 기준 남성역 19분, 숭실대입구역 26분 (2024 현장 보도)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정식 GIS·고도차 분석 필요</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핵심 주거기반</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4개 단지 5,073세대 (직접 수혜 1,678)</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잠재 영향권, 승객수 아님</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접근성 개선(추정)</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핵심 4개 단지 세대 가중 평균 도보 약 12분 → 약 6분. 단지 중심 기준 직선 500m 역세권 세대 0 → 3,812세대(75%)</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평지 기준 추정, 경사·출입구 경로는 공식 GIS로 확인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중복 주거재고</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7개 단지 4,289세대 (기존역 도보권)</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순증 수요에서 할인·제외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철도수요</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남성·숭실대입구·상도 일 2.1~2.7만 (2025, 2차 출처)</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전환분과 순증분 분리</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투자 대비 재정 환류</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 환류 연 5~18억 원(가정). 건설비 예시 200~700억 원 대비 연 환류율 약 0.7~9%</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세수는 보조 지표, 판단은 교통 편익과 B/C로</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선정 기준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3차는 경제성 B/C 0.7 이상·정책성 AHP 0.5 이상을 종합 검토</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충족 조건과 개선 방안을 9절에 제시</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 스크리닝(조건부)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 0.12~0.58(건설비 300억 원 가정). 연 비용의 77~88%는 기존 승객 시간손실. 0.7 도달 조건: 낙관 수요·단면 12만 이하·정차 36초 (7·9절)</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서울교통공사 단면 수송량·정차 지연 실측으로 확정</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수혜 인구당 사업비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신규 500m 역세권 진입 약 8.8천 명 기준 342~798만 원/명(건설비 300~700억 원), 3차 계획 평균 약 2,555만 원/명의 13~31% [S39]</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정의가 달라 참고용, 서울시 기준 재산정 요청</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기존선 정거장 추가 사례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 8호선 남위례역(2021.12 개통), GTX-B 청학역(B/C 1.03, 사업비 2,540억 원을 인천시가 전액 부담, 지연 약 30초) [S16][S17], 도쿄·싱가포르·워싱턴·보스턴 사례(10절)</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구조가 달라 직접 비교는 어렵고, 재원 분담·사전 타당성 절차·수요 보정을 참고</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승객 지체(추정)</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구간 단면 15~25만 명/일, 정차 지연 45~60초 → 연 약 68~152만 승객-시간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편익과 같은 단위로 비교</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미래 정비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사당동 모아타운 +820세대 (성현동 +624는 위치 확인 필요)</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역과 무관한 외생 변수</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기술환경</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7호선 7-21공구(남성~숭실대입구) 시공사례 공개 [S8]</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기술검토 필요성의 근거</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행정 일정</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3차 도시철도망 계획은 2026 하반기 국토교통부 승인 목표. 서울시 공청회 2026.6.30, 의견 제출은 공청회 당일까지였음 [S14]</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의견 접수는 종료됐으므로 계획 변경·다음 계획 반영 가능성과 사전 타당성조사 경로를 서울시에 문의</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표기: A 공식·공개 원자료, B 2차 출처·직선거리 계산, C 미확보·가정. 제안 위치는 지도에서 지정한 사거리이며(좌표 오차 ±30~50m), 정거장 위치의 확정이 아니다.</w:t>
      </w:r>
    </w:p>
    <w:p>
      <w:pPr>
        <w:autoSpaceDE w:val="0"/>
        <w:autoSpaceDN w:val="0"/>
        <w:spacing w:after="120"/>
      </w:pPr>
      <w:r>
        <w:rPr>
          <w:rFonts w:ascii="맑은 고딕" w:hAnsi="맑은 고딕" w:eastAsia="맑은 고딕" w:cs="맑은 고딕"/>
          <w:color w:val="5B6775"/>
          <w:sz w:val="17"/>
        </w:rPr>
        <w:t>핵심 원칙: “타당성이 이미 입증됐다”가 아니라 “검토할 이유가 공식 자료로 충분히 존재한다”는 수준으로만 주장한다.</w:t>
      </w:r>
    </w:p>
    <w:p>
      <w:pPr>
        <w:pStyle w:val="Heading2"/>
        <w:pBdr>
          <w:bottom w:val="single" w:sz="8" w:space="3" w:color="c9d3de"/>
        </w:pBdr>
        <w:autoSpaceDE w:val="0"/>
        <w:autoSpaceDN w:val="0"/>
      </w:pPr>
      <w:r>
        <w:rPr>
          <w:rFonts w:ascii="맑은 고딕" w:hAnsi="맑은 고딕" w:eastAsia="맑은 고딕" w:cs="맑은 고딕"/>
          <w:b/>
          <w:color w:val="173F5F"/>
          <w:sz w:val="32"/>
        </w:rPr>
        <w:t>1. 필요성: 왜 이곳이고, 왜 지금인가</w:t>
      </w:r>
    </w:p>
    <w:p>
      <w:pPr>
        <w:keepNext/>
        <w:autoSpaceDE w:val="0"/>
        <w:autoSpaceDN w:val="0"/>
        <w:spacing w:before="80" w:after="40"/>
        <w:jc w:val="center"/>
      </w:pPr>
      <w:r>
        <w:drawing>
          <wp:inline xmlns:a="http://schemas.openxmlformats.org/drawingml/2006/main" xmlns:pic="http://schemas.openxmlformats.org/drawingml/2006/picture">
            <wp:extent cx="6048000" cy="2782080"/>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048000" cy="27820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이웃 구간·본 구간은 서울교통공사 7호선 역간 표기, 신설 후 구간은 공개 좌표 직선거리. 7호선 평균 약 1.14km는 서울교통공사 자료를 인용한 보도 기준 [S38].</w:t>
      </w:r>
    </w:p>
    <w:tbl>
      <w:tblPr>
        <w:tblW w:w="9751" w:type="dxa"/>
        <w:jc w:val="center"/>
        <w:tblLayout w:type="fixed"/>
        <w:tblLook w:firstColumn="1" w:firstRow="1" w:lastColumn="0" w:lastRow="0" w:noHBand="0" w:noVBand="1" w:val="04A0"/>
      </w:tblPr>
      <w:tblGrid>
        <w:gridCol w:w="2648"/>
        <w:gridCol w:w="5537"/>
        <w:gridCol w:w="1565"/>
      </w:tblGrid>
      <w:tr>
        <w:trPr>
          <w:cantSplit/>
          <w:tblHeader/>
        </w:trPr>
        <w:tc>
          <w:tcPr>
            <w:tcW w:type="dxa" w:w="26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w:t>
            </w:r>
          </w:p>
        </w:tc>
        <w:tc>
          <w:tcPr>
            <w:tcW w:type="dxa" w:w="55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156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신뢰도</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① 역간 구조</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남성–숭실대입구 약 2.0km로 이웃 구간(0.9~1.0km)의 약 2배, 7호선 평균(약 1.14km)의 약 1.7배 [S38]</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② 구간 한가운데의 접근성</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제안 위치는 직선 기준 남성역 약 0.95km, 숭실대입구역 약 0.99km(49:51)로, 가까운 역까지의 거리가 구간 안에서 가장 먼 지점이다. 이웃 구간에서 같은 값은 0.45~0.50km이므로 약 2배</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 (좌표 계산)</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③ 체감 접근성</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상도중 기준 남성역 19분·숭실대입구역 26분(2024 보도) [S1], 사당자이는 남성역까지 865m·도보 약 13분</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④ 서울시 정책 목표</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 427개 행정동 중 역까지 10분 이상 108곳, 20분 이상 23곳, 목표는 “서울 전역 10분 역세권” [S6]. 다만 행정동 평균이라 동 안의 경사지 격차는 보이지 않음</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⑤ 수혜 규모</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직접 수혜 1,678세대 + 선택 전환 3,395세대(핵심 5,073세대). 단지 중심 기준으로 현재 직선 500m 역세권에 드는 세대는 없고, 신설 시 3,812세대(75%)가 들어온다. 기존역 도보권 4,289세대는 순증에서 제외</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⑥ 장래 변화</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인근 모아타운 사당동 +820세대, 성현동 +624세대. 역과 무관하게 진행되는 도시 변화</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⑦ 이용 행태</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관악현대 등은 걸어서 역을 이용하는 주민이 많지 않고 버스 환승에 의존한다는 서술이 있어 버스→철도 전환 잠재가 있음</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C (2차)</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⑧ 기존선 정거장 추가 선례</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 8호선 남위례역(2021.12 개통), 인천 GTX-B 청학역(2025.12 추진 확정), 도쿄 다카나와게이트웨이(2020), 싱가포르 캔버라(2019) 등 운영 중이거나 계획된 노선에 정거장을 추가한 선례가 있다. 구조·재원은 10절</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⑨ 선행 제안</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2024년 서울시민 제안(상상대로 서울)에서 같은 구간 신설 요구가 제기됐고, 서울시는 수백억 원 이상의 비용, 타당성조사, 운행 중 노선 공사의 어려움을 들어 부정적이었고, 도시철도과는 지상역은 어느 정도 현실성이 있으나 지하역은 현재 기술로 거의 불가능해 보인다는 취지로도 답했다. 전문가는 제안한 쪽의 비용 부담 원칙과 철도망 계획 정합성을 언급했다 [S1]</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2. 현재 수요 기반</w:t>
      </w:r>
    </w:p>
    <w:p>
      <w:pPr>
        <w:autoSpaceDE w:val="0"/>
        <w:autoSpaceDN w:val="0"/>
        <w:spacing w:after="120"/>
      </w:pPr>
      <w:r>
        <w:rPr>
          <w:rFonts w:ascii="맑은 고딕" w:hAnsi="맑은 고딕" w:eastAsia="맑은 고딕" w:cs="맑은 고딕"/>
          <w:color w:val="1D2A38"/>
          <w:sz w:val="20"/>
        </w:rPr>
        <w:t xml:space="preserve">공식 공동주택 자료를 기준으로 핵심 4개 단지를 선정했다. 합계는 </w:t>
      </w:r>
      <w:r>
        <w:rPr>
          <w:rFonts w:ascii="맑은 고딕" w:hAnsi="맑은 고딕" w:eastAsia="맑은 고딕" w:cs="맑은 고딕"/>
          <w:b/>
          <w:color w:val="1D2A38"/>
          <w:sz w:val="20"/>
        </w:rPr>
        <w:t>5,073세대</w:t>
      </w:r>
      <w:r>
        <w:rPr>
          <w:rFonts w:ascii="맑은 고딕" w:hAnsi="맑은 고딕" w:eastAsia="맑은 고딕" w:cs="맑은 고딕"/>
          <w:color w:val="1D2A38"/>
          <w:sz w:val="20"/>
        </w:rPr>
        <w:t xml:space="preserve">이며, 이 숫자는 신규역 승객수가 아니라 </w:t>
      </w:r>
      <w:r>
        <w:rPr>
          <w:rFonts w:ascii="맑은 고딕" w:hAnsi="맑은 고딕" w:eastAsia="맑은 고딕" w:cs="맑은 고딕"/>
          <w:b/>
          <w:color w:val="1D2A38"/>
          <w:sz w:val="20"/>
        </w:rPr>
        <w:t>잠재 영향권의 주거기반</w:t>
      </w:r>
      <w:r>
        <w:rPr>
          <w:rFonts w:ascii="맑은 고딕" w:hAnsi="맑은 고딕" w:eastAsia="맑은 고딕" w:cs="맑은 고딕"/>
          <w:color w:val="1D2A38"/>
          <w:sz w:val="20"/>
        </w:rPr>
        <w:t>이다.</w:t>
      </w:r>
    </w:p>
    <w:tbl>
      <w:tblPr>
        <w:tblW w:w="9751" w:type="dxa"/>
        <w:jc w:val="center"/>
        <w:tblLayout w:type="fixed"/>
        <w:tblLook w:firstColumn="1" w:firstRow="1" w:lastColumn="0" w:lastRow="0" w:noHBand="0" w:noVBand="1" w:val="04A0"/>
      </w:tblPr>
      <w:tblGrid>
        <w:gridCol w:w="1016"/>
        <w:gridCol w:w="850"/>
        <w:gridCol w:w="2512"/>
        <w:gridCol w:w="2131"/>
        <w:gridCol w:w="3240"/>
      </w:tblGrid>
      <w:tr>
        <w:trPr>
          <w:cantSplit/>
          <w:tblHeader/>
        </w:trPr>
        <w:tc>
          <w:tcPr>
            <w:tcW w:type="dxa" w:w="101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세대</w:t>
            </w:r>
          </w:p>
        </w:tc>
        <w:tc>
          <w:tcPr>
            <w:tcW w:type="dxa" w:w="251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기존역 도보</w:t>
            </w:r>
          </w:p>
        </w:tc>
        <w:tc>
          <w:tcPr>
            <w:tcW w:type="dxa" w:w="21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제안 위치 직선(m)</w:t>
            </w:r>
          </w:p>
        </w:tc>
        <w:tc>
          <w:tcPr>
            <w:tcW w:type="dxa" w:w="324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성격</w:t>
            </w:r>
          </w:p>
        </w:tc>
      </w:tr>
      <w:tr>
        <w:trPr>
          <w:cantSplit/>
        </w:trPr>
        <w:tc>
          <w:tcPr>
            <w:tcW w:type="dxa" w:w="101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골든포레</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959</w:t>
            </w:r>
          </w:p>
        </w:tc>
        <w:tc>
          <w:tcPr>
            <w:tcW w:type="dxa" w:w="25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10~16분</w:t>
            </w:r>
          </w:p>
        </w:tc>
        <w:tc>
          <w:tcPr>
            <w:tcW w:type="dxa" w:w="21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229</w:t>
            </w:r>
          </w:p>
        </w:tc>
        <w:tc>
          <w:tcPr>
            <w:tcW w:type="dxa" w:w="32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직접 수혜</w:t>
            </w:r>
          </w:p>
        </w:tc>
      </w:tr>
      <w:tr>
        <w:trPr>
          <w:cantSplit/>
        </w:trPr>
        <w:tc>
          <w:tcPr>
            <w:tcW w:type="dxa" w:w="101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사당자이</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719</w:t>
            </w:r>
          </w:p>
        </w:tc>
        <w:tc>
          <w:tcPr>
            <w:tcW w:type="dxa" w:w="25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 13분</w:t>
            </w:r>
          </w:p>
        </w:tc>
        <w:tc>
          <w:tcPr>
            <w:tcW w:type="dxa" w:w="21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105</w:t>
            </w:r>
          </w:p>
        </w:tc>
        <w:tc>
          <w:tcPr>
            <w:tcW w:type="dxa" w:w="32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직접 수혜</w:t>
            </w:r>
          </w:p>
        </w:tc>
      </w:tr>
      <w:tr>
        <w:trPr>
          <w:cantSplit/>
        </w:trPr>
        <w:tc>
          <w:tcPr>
            <w:tcW w:type="dxa" w:w="101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관악현대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2,134</w:t>
            </w:r>
          </w:p>
        </w:tc>
        <w:tc>
          <w:tcPr>
            <w:tcW w:type="dxa" w:w="25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 9~15분(동별 차)</w:t>
            </w:r>
          </w:p>
        </w:tc>
        <w:tc>
          <w:tcPr>
            <w:tcW w:type="dxa" w:w="21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446</w:t>
            </w:r>
          </w:p>
        </w:tc>
        <w:tc>
          <w:tcPr>
            <w:tcW w:type="dxa" w:w="32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선택 전환 (동작구 405 + 관악구 1,729)</w:t>
            </w:r>
          </w:p>
        </w:tc>
      </w:tr>
      <w:tr>
        <w:trPr>
          <w:cantSplit/>
        </w:trPr>
        <w:tc>
          <w:tcPr>
            <w:tcW w:type="dxa" w:w="101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성현동아</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1,261</w:t>
            </w:r>
          </w:p>
        </w:tc>
        <w:tc>
          <w:tcPr>
            <w:tcW w:type="dxa" w:w="25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 10~13분</w:t>
            </w:r>
          </w:p>
        </w:tc>
        <w:tc>
          <w:tcPr>
            <w:tcW w:type="dxa" w:w="21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550</w:t>
            </w:r>
          </w:p>
        </w:tc>
        <w:tc>
          <w:tcPr>
            <w:tcW w:type="dxa" w:w="324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선택 전환</w:t>
            </w:r>
          </w:p>
        </w:tc>
      </w:tr>
      <w:tr>
        <w:trPr>
          <w:cantSplit/>
        </w:trPr>
        <w:tc>
          <w:tcPr>
            <w:tcW w:type="dxa" w:w="1016"/>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5,073</w:t>
            </w:r>
          </w:p>
        </w:tc>
        <w:tc>
          <w:tcPr>
            <w:tcW w:type="dxa" w:w="2512"/>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p>
        </w:tc>
        <w:tc>
          <w:tcPr>
            <w:tcW w:type="dxa" w:w="2131"/>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p>
        </w:tc>
        <w:tc>
          <w:tcPr>
            <w:tcW w:type="dxa" w:w="3240"/>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핵심 주거기반 (직접 수혜 1,678)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제안 위치 직선거리는 공개 좌표(단지 중심 근사)와 지도로 지정한 사거리 사이의 거리이며, 오차는 수십 m다.</w:t>
      </w:r>
    </w:p>
    <w:p>
      <w:pPr>
        <w:keepNext/>
        <w:autoSpaceDE w:val="0"/>
        <w:autoSpaceDN w:val="0"/>
        <w:spacing w:before="80" w:after="40"/>
        <w:jc w:val="center"/>
      </w:pPr>
      <w:r>
        <w:drawing>
          <wp:inline xmlns:a="http://schemas.openxmlformats.org/drawingml/2006/main" xmlns:pic="http://schemas.openxmlformats.org/drawingml/2006/picture">
            <wp:extent cx="6048000" cy="1995840"/>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048000" cy="199584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공식 세대수 기준 구성비. 신규역 승객수와 동일한 개념이 아님.</w:t>
      </w:r>
    </w:p>
    <w:p>
      <w:pPr>
        <w:pStyle w:val="Heading3"/>
        <w:autoSpaceDE w:val="0"/>
        <w:autoSpaceDN w:val="0"/>
      </w:pPr>
      <w:r>
        <w:rPr>
          <w:rFonts w:ascii="맑은 고딕" w:hAnsi="맑은 고딕" w:eastAsia="맑은 고딕" w:cs="맑은 고딕"/>
          <w:b/>
          <w:color w:val="173F5F"/>
          <w:sz w:val="24"/>
        </w:rPr>
        <w:t>과대산정 방지: 기존역 도보권 단지는 중복권으로 분리</w:t>
      </w:r>
    </w:p>
    <w:tbl>
      <w:tblPr>
        <w:tblW w:w="9751" w:type="dxa"/>
        <w:jc w:val="center"/>
        <w:tblLayout w:type="fixed"/>
        <w:tblLook w:firstColumn="1" w:firstRow="1" w:lastColumn="0" w:lastRow="0" w:noHBand="0" w:noVBand="1" w:val="04A0"/>
      </w:tblPr>
      <w:tblGrid>
        <w:gridCol w:w="3830"/>
        <w:gridCol w:w="1044"/>
        <w:gridCol w:w="3830"/>
        <w:gridCol w:w="1044"/>
      </w:tblGrid>
      <w:tr>
        <w:trPr>
          <w:cantSplit/>
          <w:tblHeader/>
        </w:trPr>
        <w:tc>
          <w:tcPr>
            <w:tcW w:type="dxa" w:w="383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단지</w:t>
            </w:r>
          </w:p>
        </w:tc>
        <w:tc>
          <w:tcPr>
            <w:tcW w:type="dxa" w:w="104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세대</w:t>
            </w:r>
          </w:p>
        </w:tc>
        <w:tc>
          <w:tcPr>
            <w:tcW w:type="dxa" w:w="383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기존역 접근</w:t>
            </w:r>
          </w:p>
        </w:tc>
        <w:tc>
          <w:tcPr>
            <w:tcW w:type="dxa" w:w="104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처리</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 롯데캐슬 1차</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444</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남성역 도보 약 11분</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할인</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 롯데캐슬 2차</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223</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남성역 9~13분(자료별 상이)</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할인</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상도현대</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194</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숭실대입구역 약 8분</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상도삼호</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682</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숭실대입구역 인접</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이수 푸르지오 더 프레티움</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514</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이수역 도보 약 8분</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 우성2차</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1,080</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이수역 인접</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w:t>
            </w:r>
          </w:p>
        </w:tc>
      </w:tr>
      <w:tr>
        <w:trPr>
          <w:cantSplit/>
        </w:trPr>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 대림</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1,152</w:t>
            </w:r>
          </w:p>
        </w:tc>
        <w:tc>
          <w:tcPr>
            <w:tcW w:type="dxa" w:w="383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남성역 직선 약 150m</w:t>
            </w:r>
          </w:p>
        </w:tc>
        <w:tc>
          <w:tcPr>
            <w:tcW w:type="dxa" w:w="104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w:t>
            </w:r>
          </w:p>
        </w:tc>
      </w:tr>
      <w:tr>
        <w:trPr>
          <w:cantSplit/>
        </w:trPr>
        <w:tc>
          <w:tcPr>
            <w:tcW w:type="dxa" w:w="3830"/>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w:t>
            </w:r>
          </w:p>
        </w:tc>
        <w:tc>
          <w:tcPr>
            <w:tcW w:type="dxa" w:w="1044"/>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4,289</w:t>
            </w:r>
          </w:p>
        </w:tc>
        <w:tc>
          <w:tcPr>
            <w:tcW w:type="dxa" w:w="3830"/>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p>
        </w:tc>
        <w:tc>
          <w:tcPr>
            <w:tcW w:type="dxa" w:w="1044"/>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도보시간은 공개 부동산·생활정보의 2차 자료이며 공식 GIS 보행시간이 아니다. 실측은 출입구 후보 확정 후 재측정한다.</w:t>
      </w:r>
    </w:p>
    <w:p>
      <w:pPr>
        <w:pStyle w:val="Heading3"/>
        <w:autoSpaceDE w:val="0"/>
        <w:autoSpaceDN w:val="0"/>
      </w:pPr>
      <w:r>
        <w:rPr>
          <w:rFonts w:ascii="맑은 고딕" w:hAnsi="맑은 고딕" w:eastAsia="맑은 고딕" w:cs="맑은 고딕"/>
          <w:b/>
          <w:color w:val="173F5F"/>
          <w:sz w:val="24"/>
        </w:rPr>
        <w:t>주거 외 수요: 보조 지표로만 사용</w:t>
      </w:r>
    </w:p>
    <w:tbl>
      <w:tblPr>
        <w:tblW w:w="9751" w:type="dxa"/>
        <w:jc w:val="center"/>
        <w:tblLayout w:type="fixed"/>
        <w:tblLook w:firstColumn="1" w:firstRow="1" w:lastColumn="0" w:lastRow="0" w:noHBand="0" w:noVBand="1" w:val="04A0"/>
      </w:tblPr>
      <w:tblGrid>
        <w:gridCol w:w="1891"/>
        <w:gridCol w:w="3955"/>
        <w:gridCol w:w="3904"/>
      </w:tblGrid>
      <w:tr>
        <w:trPr>
          <w:cantSplit/>
          <w:tblHeader/>
        </w:trPr>
        <w:tc>
          <w:tcPr>
            <w:tcW w:type="dxa" w:w="18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시설·권역</w:t>
            </w:r>
          </w:p>
        </w:tc>
        <w:tc>
          <w:tcPr>
            <w:tcW w:type="dxa" w:w="395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 관계</w:t>
            </w:r>
          </w:p>
        </w:tc>
        <w:tc>
          <w:tcPr>
            <w:tcW w:type="dxa" w:w="39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사용 방법</w:t>
            </w:r>
          </w:p>
        </w:tc>
      </w:tr>
      <w:tr>
        <w:trPr>
          <w:cantSplit/>
        </w:trPr>
        <w:tc>
          <w:tcPr>
            <w:tcW w:type="dxa" w:w="18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상도중학교</w:t>
            </w:r>
          </w:p>
        </w:tc>
        <w:tc>
          <w:tcPr>
            <w:tcW w:type="dxa" w:w="395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제안 위치(사거리)가 학교 부지에 인접(지도 확인), 학교 좌표 근사 기준 약 140m</w:t>
            </w:r>
          </w:p>
        </w:tc>
        <w:tc>
          <w:tcPr>
            <w:tcW w:type="dxa" w:w="39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통학·보행안전 보조지표</w:t>
            </w:r>
          </w:p>
        </w:tc>
      </w:tr>
      <w:tr>
        <w:trPr>
          <w:cantSplit/>
        </w:trPr>
        <w:tc>
          <w:tcPr>
            <w:tcW w:type="dxa" w:w="18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서울신남성초 등 인근 초·중학교</w:t>
            </w:r>
          </w:p>
        </w:tc>
        <w:tc>
          <w:tcPr>
            <w:tcW w:type="dxa" w:w="395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통학구역·학생 수는 학교알리미·교육청 자료로 확인</w:t>
            </w:r>
          </w:p>
        </w:tc>
        <w:tc>
          <w:tcPr>
            <w:tcW w:type="dxa" w:w="39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통학 보조지표</w:t>
            </w:r>
          </w:p>
        </w:tc>
      </w:tr>
      <w:tr>
        <w:trPr>
          <w:cantSplit/>
        </w:trPr>
        <w:tc>
          <w:tcPr>
            <w:tcW w:type="dxa" w:w="18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저층주거</w:t>
            </w:r>
          </w:p>
        </w:tc>
        <w:tc>
          <w:tcPr>
            <w:tcW w:type="dxa" w:w="395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250m 생활인구 집계 필요(서울 열린데이터광장 공개 자료 [S9])</w:t>
            </w:r>
          </w:p>
        </w:tc>
        <w:tc>
          <w:tcPr>
            <w:tcW w:type="dxa" w:w="39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위치 500m·800m 심야(0~6시) 평균으로 산출, 아파트 4개 단지 차감</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학생 수는 학교알리미 자료로 확정해 반영하며, 학생·초등생은 철도 수요로 크게 잡지 않는다.</w:t>
      </w:r>
    </w:p>
    <w:p>
      <w:pPr>
        <w:pStyle w:val="Heading2"/>
        <w:pBdr>
          <w:bottom w:val="single" w:sz="8" w:space="3" w:color="c9d3de"/>
        </w:pBdr>
        <w:autoSpaceDE w:val="0"/>
        <w:autoSpaceDN w:val="0"/>
      </w:pPr>
      <w:r>
        <w:rPr>
          <w:rFonts w:ascii="맑은 고딕" w:hAnsi="맑은 고딕" w:eastAsia="맑은 고딕" w:cs="맑은 고딕"/>
          <w:b/>
          <w:color w:val="173F5F"/>
          <w:sz w:val="32"/>
        </w:rPr>
        <w:t>3. 제안 위치: 소공원2–상도중학교 사이 사거리 (두 역의 정중앙)</w:t>
      </w:r>
    </w:p>
    <w:p>
      <w:pPr>
        <w:autoSpaceDE w:val="0"/>
        <w:autoSpaceDN w:val="0"/>
        <w:spacing w:after="120"/>
      </w:pPr>
      <w:r>
        <w:rPr>
          <w:rFonts w:ascii="맑은 고딕" w:hAnsi="맑은 고딕" w:eastAsia="맑은 고딕" w:cs="맑은 고딕"/>
          <w:color w:val="1D2A38"/>
          <w:sz w:val="20"/>
        </w:rPr>
        <w:t xml:space="preserve">제안 위치는 </w:t>
      </w:r>
      <w:r>
        <w:rPr>
          <w:rFonts w:ascii="맑은 고딕" w:hAnsi="맑은 고딕" w:eastAsia="맑은 고딕" w:cs="맑은 고딕"/>
          <w:b/>
          <w:color w:val="1D2A38"/>
          <w:sz w:val="20"/>
        </w:rPr>
        <w:t>소공원2와 상도중학교 사이 사거리</w:t>
      </w:r>
      <w:r>
        <w:rPr>
          <w:rFonts w:ascii="맑은 고딕" w:hAnsi="맑은 고딕" w:eastAsia="맑은 고딕" w:cs="맑은 고딕"/>
          <w:color w:val="1D2A38"/>
          <w:sz w:val="20"/>
        </w:rPr>
        <w:t>다(지도에서 직접 지정, 대략 북위 37.490°·동경 126.9625° 부근). 7호선이 상도중 부지 지하를 지난다는 점(2차 서술, 상용 지도의 노선 표시와 일치)을 전제로 정거장이 들어갈 수 있는 위치를 이 사거리 일대로 고정했다. 좌표 오차는 ±30~50m이며, 정확한 정거장 위치는 서울시의 선로·구조 검토로 확정한다.</w:t>
      </w:r>
    </w:p>
    <w:p>
      <w:pPr>
        <w:pStyle w:val="Heading3"/>
        <w:autoSpaceDE w:val="0"/>
        <w:autoSpaceDN w:val="0"/>
      </w:pPr>
      <w:r>
        <w:rPr>
          <w:rFonts w:ascii="맑은 고딕" w:hAnsi="맑은 고딕" w:eastAsia="맑은 고딕" w:cs="맑은 고딕"/>
          <w:b/>
          <w:color w:val="173F5F"/>
          <w:sz w:val="24"/>
        </w:rPr>
        <w:t>정중앙이라는 점이 갖는 의미</w:t>
      </w:r>
    </w:p>
    <w:tbl>
      <w:tblPr>
        <w:tblW w:w="9751" w:type="dxa"/>
        <w:jc w:val="center"/>
        <w:tblLayout w:type="fixed"/>
        <w:tblLook w:firstColumn="1" w:firstRow="1" w:lastColumn="0" w:lastRow="0" w:noHBand="0" w:noVBand="1" w:val="04A0"/>
      </w:tblPr>
      <w:tblGrid>
        <w:gridCol w:w="1881"/>
        <w:gridCol w:w="3934"/>
        <w:gridCol w:w="3934"/>
      </w:tblGrid>
      <w:tr>
        <w:trPr>
          <w:cantSplit/>
          <w:tblHeader/>
        </w:trPr>
        <w:tc>
          <w:tcPr>
            <w:tcW w:type="dxa" w:w="188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관점</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계산 결과 (직선거리, 공개 좌표 기준)</w:t>
            </w:r>
          </w:p>
        </w:tc>
        <w:tc>
          <w:tcPr>
            <w:tcW w:type="dxa" w:w="39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의미</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위치</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남성역 약 0.95km · 숭실대입구역 약 0.99km (전 구간 1.94km의 49:51). 두 역을 잇는 직선의 중점에서 약 36m, 직선에서 약 29m 떨어짐</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양 역의 정중앙</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접근성이 가장 낮은 지점</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가까운 기존역까지 약 0.95km. 이웃 구간(0.9~1.0km)에서 같은 값의 최댓값은 0.45~0.50km</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구간 내 접근성 사각지대의 중심 (이웃 구간의 약 2배)</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역세권 공백</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직선 500m 기준으로 두 역이 덮지 못하는 띠 = 1.94 − 2×0.5 ≈ 0.94km. 제안 위치의 500m 반경(지름 1.0km)이 이를 메우며, 기존 역세권과 겹치는 폭은 남성역 쪽 약 49m, 숭실대입구역 쪽 약 7m(직선 951m·993m 기준)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중복 투자 없이 공백 해소</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간격의 균질성</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신설 후 0.95km·0.99km. 이웃 구간 0.9~1.0km, 7호선 평균 약 1.14km와 같은 수준</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한쪽으로 치우치면 짧은 구간이 생겨 가감속 비중이 커지고 반대쪽 접근 개선이 줄어듦</w:t>
            </w:r>
          </w:p>
        </w:tc>
      </w:tr>
      <w:tr>
        <w:trPr>
          <w:cantSplit/>
        </w:trPr>
        <w:tc>
          <w:tcPr>
            <w:tcW w:type="dxa" w:w="18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보행 기준과의 관계</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핵심 4개 단지는 모두 제안 위치에서 직선 0.55km 이내(105~550m). 현재는 가까운 기존역까지 0.57~0.89km</w:t>
            </w:r>
          </w:p>
        </w:tc>
        <w:tc>
          <w:tcPr>
            <w:tcW w:type="dxa" w:w="39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일반 보행 10분 환산(800m) 밖에 있던 1,678세대(골든포레·사당자이)가 안으로 들어옴</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입지 판단 근거와 확인할 것</w:t>
      </w:r>
    </w:p>
    <w:tbl>
      <w:tblPr>
        <w:tblW w:w="9751" w:type="dxa"/>
        <w:jc w:val="center"/>
        <w:tblLayout w:type="fixed"/>
        <w:tblLook w:firstColumn="1" w:firstRow="1" w:lastColumn="0" w:lastRow="0" w:noHBand="0" w:noVBand="1" w:val="04A0"/>
      </w:tblPr>
      <w:tblGrid>
        <w:gridCol w:w="1139"/>
        <w:gridCol w:w="5825"/>
        <w:gridCol w:w="2786"/>
      </w:tblGrid>
      <w:tr>
        <w:trPr>
          <w:cantSplit/>
          <w:tblHeader/>
        </w:trPr>
        <w:tc>
          <w:tcPr>
            <w:tcW w:type="dxa" w:w="11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판단 근거</w:t>
            </w:r>
          </w:p>
        </w:tc>
        <w:tc>
          <w:tcPr>
            <w:tcW w:type="dxa" w:w="58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278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상태</w:t>
            </w:r>
          </w:p>
        </w:tc>
      </w:tr>
      <w:tr>
        <w:trPr>
          <w:cantSplit/>
        </w:trPr>
        <w:tc>
          <w:tcPr>
            <w:tcW w:type="dxa" w:w="11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선로</w:t>
            </w:r>
          </w:p>
        </w:tc>
        <w:tc>
          <w:tcPr>
            <w:tcW w:type="dxa" w:w="58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상용 지도의 7호선 표시선이 이 사거리 인근(약 40m 이내)을 지나고, 남성–숭실대입구 직선 근사와도 약 29m 이내. 선로가 상도중 지하를 통과한다는 2차 서술과 일치. 지도 표시선은 공식 선형이 아니다</w:t>
            </w:r>
          </w:p>
        </w:tc>
        <w:tc>
          <w:tcPr>
            <w:tcW w:type="dxa" w:w="278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 (실제 선형 확인 필요)</w:t>
            </w:r>
          </w:p>
        </w:tc>
      </w:tr>
      <w:tr>
        <w:trPr>
          <w:cantSplit/>
        </w:trPr>
        <w:tc>
          <w:tcPr>
            <w:tcW w:type="dxa" w:w="11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입지</w:t>
            </w:r>
          </w:p>
        </w:tc>
        <w:tc>
          <w:tcPr>
            <w:tcW w:type="dxa" w:w="58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제안 위치에서 사당자이 약 105m, 골든포레 약 230m, 관악현대 약 450m, 성현동아 약 550m (직선)</w:t>
            </w:r>
          </w:p>
        </w:tc>
        <w:tc>
          <w:tcPr>
            <w:tcW w:type="dxa" w:w="278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 (좌표 근사)</w:t>
            </w:r>
          </w:p>
        </w:tc>
      </w:tr>
      <w:tr>
        <w:trPr>
          <w:cantSplit/>
        </w:trPr>
        <w:tc>
          <w:tcPr>
            <w:tcW w:type="dxa" w:w="11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공공 부지</w:t>
            </w:r>
          </w:p>
        </w:tc>
        <w:tc>
          <w:tcPr>
            <w:tcW w:type="dxa" w:w="58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사거리에 접한 소공원2(사당동 1160-4, 3,720㎡)와 상도중 부지, 소공원1(1,686㎡)을 출입구·환기구 후보로 검토 [S20][S21]. 도로 하부·민간 필지 대안도 함께 검토</w:t>
            </w:r>
          </w:p>
        </w:tc>
        <w:tc>
          <w:tcPr>
            <w:tcW w:type="dxa" w:w="278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지적·소유 확인 필요</w:t>
            </w:r>
          </w:p>
        </w:tc>
      </w:tr>
      <w:tr>
        <w:trPr>
          <w:cantSplit/>
        </w:trPr>
        <w:tc>
          <w:tcPr>
            <w:tcW w:type="dxa" w:w="11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리스크</w:t>
            </w:r>
          </w:p>
        </w:tc>
        <w:tc>
          <w:tcPr>
            <w:tcW w:type="dxa" w:w="58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학교 하부·인접 시공의 안전·소음·진동 민원, 공원 면적 부족 시 도로·민간부지 필요</w:t>
            </w:r>
          </w:p>
        </w:tc>
        <w:tc>
          <w:tcPr>
            <w:tcW w:type="dxa" w:w="278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기술검토 대상</w:t>
            </w:r>
          </w:p>
        </w:tc>
      </w:tr>
    </w:tbl>
    <w:p>
      <w:pPr>
        <w:autoSpaceDE w:val="0"/>
        <w:autoSpaceDN w:val="0"/>
        <w:spacing w:after="40" w:line="144" w:lineRule="auto"/>
      </w:pPr>
    </w:p>
    <w:p>
      <w:pPr>
        <w:keepNext/>
        <w:autoSpaceDE w:val="0"/>
        <w:autoSpaceDN w:val="0"/>
        <w:spacing w:before="80" w:after="40"/>
        <w:jc w:val="center"/>
      </w:pPr>
      <w:r>
        <w:drawing>
          <wp:inline xmlns:a="http://schemas.openxmlformats.org/drawingml/2006/main" xmlns:pic="http://schemas.openxmlformats.org/drawingml/2006/picture">
            <wp:extent cx="6048000" cy="4898880"/>
            <wp:docPr id="5" name="Picture 5"/>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6048000" cy="489888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개략도: 공개 좌표 기준 직선거리(오차 수십 m). 7호선 선은 두 역을 잇는 직선 근사이며 실제 선로가 아니다. 모아타운 경계는 서울시 위치도 확인이 필요해 표시하지 않았다.</w:t>
      </w:r>
    </w:p>
    <w:p>
      <w:pPr>
        <w:keepNext/>
        <w:autoSpaceDE w:val="0"/>
        <w:autoSpaceDN w:val="0"/>
        <w:spacing w:before="80" w:after="40"/>
        <w:jc w:val="center"/>
      </w:pPr>
      <w:r>
        <w:drawing>
          <wp:inline xmlns:a="http://schemas.openxmlformats.org/drawingml/2006/main" xmlns:pic="http://schemas.openxmlformats.org/drawingml/2006/picture">
            <wp:extent cx="6048000" cy="3144960"/>
            <wp:docPr id="6" name="Picture 6"/>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6048000" cy="314496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추정: 직선거리×1.3, 분속 80m. 출입구·경사·경로 반영 전. 현재 도보시간은 사이트 기재 중간값. 오른쪽 막대는 세대 × 단축 분(비교용 지표이며 승객수가 아니다).</w:t>
      </w:r>
    </w:p>
    <w:p>
      <w:pPr>
        <w:pStyle w:val="Heading3"/>
        <w:autoSpaceDE w:val="0"/>
        <w:autoSpaceDN w:val="0"/>
      </w:pPr>
      <w:r>
        <w:rPr>
          <w:rFonts w:ascii="맑은 고딕" w:hAnsi="맑은 고딕" w:eastAsia="맑은 고딕" w:cs="맑은 고딕"/>
          <w:b/>
          <w:color w:val="173F5F"/>
          <w:sz w:val="24"/>
        </w:rPr>
        <w:t>단지별 접근성 (제안 위치)</w:t>
      </w:r>
    </w:p>
    <w:tbl>
      <w:tblPr>
        <w:tblW w:w="9751" w:type="dxa"/>
        <w:jc w:val="center"/>
        <w:tblLayout w:type="fixed"/>
        <w:tblLook w:firstColumn="1" w:firstRow="1" w:lastColumn="0" w:lastRow="0" w:noHBand="0" w:noVBand="1" w:val="04A0"/>
      </w:tblPr>
      <w:tblGrid>
        <w:gridCol w:w="1154"/>
        <w:gridCol w:w="850"/>
        <w:gridCol w:w="2032"/>
        <w:gridCol w:w="1776"/>
        <w:gridCol w:w="1391"/>
        <w:gridCol w:w="2545"/>
      </w:tblGrid>
      <w:tr>
        <w:trPr>
          <w:cantSplit/>
          <w:tblHeader/>
        </w:trPr>
        <w:tc>
          <w:tcPr>
            <w:tcW w:type="dxa" w:w="115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단지</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세대</w:t>
            </w:r>
          </w:p>
        </w:tc>
        <w:tc>
          <w:tcPr>
            <w:tcW w:type="dxa" w:w="203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현재 기존역 도보</w:t>
            </w:r>
          </w:p>
        </w:tc>
        <w:tc>
          <w:tcPr>
            <w:tcW w:type="dxa" w:w="177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제안 위치 직선</w:t>
            </w:r>
          </w:p>
        </w:tc>
        <w:tc>
          <w:tcPr>
            <w:tcW w:type="dxa" w:w="13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추정 도보</w:t>
            </w:r>
          </w:p>
        </w:tc>
        <w:tc>
          <w:tcPr>
            <w:tcW w:type="dxa" w:w="254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단축</w:t>
            </w:r>
          </w:p>
        </w:tc>
      </w:tr>
      <w:tr>
        <w:trPr>
          <w:cantSplit/>
        </w:trPr>
        <w:tc>
          <w:tcPr>
            <w:tcW w:type="dxa" w:w="1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골든포레</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959</w:t>
            </w:r>
          </w:p>
        </w:tc>
        <w:tc>
          <w:tcPr>
            <w:tcW w:type="dxa" w:w="2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10~16분</w:t>
            </w:r>
          </w:p>
        </w:tc>
        <w:tc>
          <w:tcPr>
            <w:tcW w:type="dxa" w:w="17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229m</w:t>
            </w:r>
          </w:p>
        </w:tc>
        <w:tc>
          <w:tcPr>
            <w:tcW w:type="dxa" w:w="13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4분</w:t>
            </w:r>
          </w:p>
        </w:tc>
        <w:tc>
          <w:tcPr>
            <w:tcW w:type="dxa" w:w="25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8분</w:t>
            </w:r>
          </w:p>
        </w:tc>
      </w:tr>
      <w:tr>
        <w:trPr>
          <w:cantSplit/>
        </w:trPr>
        <w:tc>
          <w:tcPr>
            <w:tcW w:type="dxa" w:w="1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사당자이</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719</w:t>
            </w:r>
          </w:p>
        </w:tc>
        <w:tc>
          <w:tcPr>
            <w:tcW w:type="dxa" w:w="2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 13분</w:t>
            </w:r>
          </w:p>
        </w:tc>
        <w:tc>
          <w:tcPr>
            <w:tcW w:type="dxa" w:w="17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105m</w:t>
            </w:r>
          </w:p>
        </w:tc>
        <w:tc>
          <w:tcPr>
            <w:tcW w:type="dxa" w:w="13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2분</w:t>
            </w:r>
          </w:p>
        </w:tc>
        <w:tc>
          <w:tcPr>
            <w:tcW w:type="dxa" w:w="25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11분</w:t>
            </w:r>
          </w:p>
        </w:tc>
      </w:tr>
      <w:tr>
        <w:trPr>
          <w:cantSplit/>
        </w:trPr>
        <w:tc>
          <w:tcPr>
            <w:tcW w:type="dxa" w:w="1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관악현대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2,134</w:t>
            </w:r>
          </w:p>
        </w:tc>
        <w:tc>
          <w:tcPr>
            <w:tcW w:type="dxa" w:w="2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 9~15분</w:t>
            </w:r>
          </w:p>
        </w:tc>
        <w:tc>
          <w:tcPr>
            <w:tcW w:type="dxa" w:w="17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446m</w:t>
            </w:r>
          </w:p>
        </w:tc>
        <w:tc>
          <w:tcPr>
            <w:tcW w:type="dxa" w:w="13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7분</w:t>
            </w:r>
          </w:p>
        </w:tc>
        <w:tc>
          <w:tcPr>
            <w:tcW w:type="dxa" w:w="25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5분</w:t>
            </w:r>
          </w:p>
        </w:tc>
      </w:tr>
      <w:tr>
        <w:trPr>
          <w:cantSplit/>
        </w:trPr>
        <w:tc>
          <w:tcPr>
            <w:tcW w:type="dxa" w:w="1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성현동아</w:t>
            </w:r>
          </w:p>
        </w:tc>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1,261</w:t>
            </w:r>
          </w:p>
        </w:tc>
        <w:tc>
          <w:tcPr>
            <w:tcW w:type="dxa" w:w="2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 10~13분</w:t>
            </w:r>
          </w:p>
        </w:tc>
        <w:tc>
          <w:tcPr>
            <w:tcW w:type="dxa" w:w="177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550m</w:t>
            </w:r>
          </w:p>
        </w:tc>
        <w:tc>
          <w:tcPr>
            <w:tcW w:type="dxa" w:w="13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9분</w:t>
            </w:r>
          </w:p>
        </w:tc>
        <w:tc>
          <w:tcPr>
            <w:tcW w:type="dxa" w:w="254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3분</w:t>
            </w:r>
          </w:p>
        </w:tc>
      </w:tr>
      <w:tr>
        <w:trPr>
          <w:cantSplit/>
        </w:trPr>
        <w:tc>
          <w:tcPr>
            <w:tcW w:type="dxa" w:w="1154"/>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합계·가중</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5,073</w:t>
            </w:r>
          </w:p>
        </w:tc>
        <w:tc>
          <w:tcPr>
            <w:tcW w:type="dxa" w:w="2032"/>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가중 약 12분</w:t>
            </w:r>
          </w:p>
        </w:tc>
        <w:tc>
          <w:tcPr>
            <w:tcW w:type="dxa" w:w="1776"/>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p>
        </w:tc>
        <w:tc>
          <w:tcPr>
            <w:tcW w:type="dxa" w:w="1391"/>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가중 약 6분</w:t>
            </w:r>
          </w:p>
        </w:tc>
        <w:tc>
          <w:tcPr>
            <w:tcW w:type="dxa" w:w="2545"/>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세대 가중 개선 +327m</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가중 개선량 = Σ(세대 × (최근접 기존역 직선거리 − 제안 위치 직선거리)) ÷ 5,073. 직선거리 기준이며 실제 출입구 도보거리가 아니다.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위치는 확정이 아니라 검토 범위다</w:t>
            </w:r>
            <w:r>
              <w:br/>
            </w:r>
            <w:r>
              <w:rPr>
                <w:rFonts w:ascii="맑은 고딕" w:hAnsi="맑은 고딕" w:eastAsia="맑은 고딕" w:cs="맑은 고딕"/>
                <w:color w:val="1D2A38"/>
                <w:sz w:val="19"/>
              </w:rPr>
              <w:t>정거장 위치를 선로 방향으로 ±100m 조정하면 4개 단지 기준 수요 추정이 약 ±21% 달라진다(남성역 쪽 100m: 약 5.5천, 제안 위치: 약 6.9천, 숭실대입구역 쪽 100m: 약 8.3천). 이 계산에는 모아타운·저층주거·학교 수요가 없으므로, 최종 위치는 250m 생활인구와 선로·구조 검토를 함께 보고 정하되 두 역의 중간이라는 간격 균형을 기본 원칙으로 한다. 서울시에는 설치 가능 구간(수평 범위)의 제시를 요청한다.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4. 인접 7호선 역 이용수요</w:t>
      </w:r>
    </w:p>
    <w:p>
      <w:pPr>
        <w:autoSpaceDE w:val="0"/>
        <w:autoSpaceDN w:val="0"/>
        <w:spacing w:after="120"/>
      </w:pPr>
      <w:r>
        <w:rPr>
          <w:rFonts w:ascii="맑은 고딕" w:hAnsi="맑은 고딕" w:eastAsia="맑은 고딕" w:cs="맑은 고딕"/>
          <w:color w:val="1D2A38"/>
          <w:sz w:val="20"/>
        </w:rPr>
        <w:t>서울열린데이터광장 “서울교통공사_승하차순위”에 2025년 자료가 있으나, 아래 값은 서울교통공사 자료를 인용한 2차 자료의 교차확인값이며, 서울교통공사 원자료(승하차순위 CSV)와의 대조는 검토 단계에서 확인이 필요하다. [S2]</w:t>
      </w:r>
    </w:p>
    <w:p>
      <w:pPr>
        <w:keepNext/>
        <w:autoSpaceDE w:val="0"/>
        <w:autoSpaceDN w:val="0"/>
        <w:spacing w:before="80" w:after="40"/>
        <w:jc w:val="center"/>
      </w:pPr>
      <w:r>
        <w:drawing>
          <wp:inline xmlns:a="http://schemas.openxmlformats.org/drawingml/2006/main" xmlns:pic="http://schemas.openxmlformats.org/drawingml/2006/picture">
            <wp:extent cx="6048000" cy="2963520"/>
            <wp:docPr id="7" name="Picture 7"/>
            <wp:cNvGraphicFramePr>
              <a:graphicFrameLocks noChangeAspect="1"/>
            </wp:cNvGraphicFramePr>
            <a:graphic>
              <a:graphicData uri="http://schemas.openxmlformats.org/drawingml/2006/picture">
                <pic:pic>
                  <pic:nvPicPr>
                    <pic:cNvPr id="0" name="image.png"/>
                    <pic:cNvPicPr/>
                  </pic:nvPicPr>
                  <pic:blipFill>
                    <a:blip r:embed="rId17"/>
                    <a:stretch>
                      <a:fillRect/>
                    </a:stretch>
                  </pic:blipFill>
                  <pic:spPr>
                    <a:xfrm>
                      <a:off x="0" y="0"/>
                      <a:ext cx="6048000" cy="29635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2차 출처 교차확인값. 서울교통공사 원자료 대조 필요.</w:t>
      </w:r>
    </w:p>
    <w:tbl>
      <w:tblPr>
        <w:tblW w:w="9751" w:type="dxa"/>
        <w:jc w:val="center"/>
        <w:tblLayout w:type="fixed"/>
        <w:tblLook w:firstColumn="1" w:firstRow="1" w:lastColumn="0" w:lastRow="0" w:noHBand="0" w:noVBand="1" w:val="04A0"/>
      </w:tblPr>
      <w:tblGrid>
        <w:gridCol w:w="3900"/>
        <w:gridCol w:w="1950"/>
        <w:gridCol w:w="1950"/>
        <w:gridCol w:w="1950"/>
      </w:tblGrid>
      <w:tr>
        <w:trPr>
          <w:cantSplit/>
          <w:tblHeader/>
        </w:trPr>
        <w:tc>
          <w:tcPr>
            <w:tcW w:type="dxa" w:w="390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역</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2019</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2025</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증감</w:t>
            </w:r>
          </w:p>
        </w:tc>
      </w:tr>
      <w:tr>
        <w:trPr>
          <w:cantSplit/>
        </w:trPr>
        <w:tc>
          <w:tcPr>
            <w:tcW w:type="dxa" w:w="390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남성역</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23,045</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21,220</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-7.9%</w:t>
            </w:r>
          </w:p>
        </w:tc>
      </w:tr>
      <w:tr>
        <w:trPr>
          <w:cantSplit/>
        </w:trPr>
        <w:tc>
          <w:tcPr>
            <w:tcW w:type="dxa" w:w="390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숭실대입구역</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30,871</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26,668</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-13.6%</w:t>
            </w:r>
          </w:p>
        </w:tc>
      </w:tr>
      <w:tr>
        <w:trPr>
          <w:cantSplit/>
        </w:trPr>
        <w:tc>
          <w:tcPr>
            <w:tcW w:type="dxa" w:w="390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상도역</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23,715</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23,284</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-1.8%</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해석: 전환분과 순증분의 분리</w:t>
            </w:r>
            <w:r>
              <w:br/>
            </w:r>
            <w:r>
              <w:rPr>
                <w:rFonts w:ascii="맑은 고딕" w:hAnsi="맑은 고딕" w:eastAsia="맑은 고딕" w:cs="맑은 고딕"/>
                <w:color w:val="1D2A38"/>
                <w:sz w:val="19"/>
              </w:rPr>
              <w:t xml:space="preserve">인접 두 역은 코로나 이전 수준을 회복하지 못했다. 이를 숨기지 않고 신설역 수요를 </w:t>
            </w:r>
            <w:r>
              <w:rPr>
                <w:rFonts w:ascii="맑은 고딕" w:hAnsi="맑은 고딕" w:eastAsia="맑은 고딕" w:cs="맑은 고딕"/>
                <w:b/>
                <w:color w:val="1D2A38"/>
                <w:sz w:val="19"/>
              </w:rPr>
              <w:t>기존역 이용자의 이동분(전환)과 순증분(버스·도보·승용차에서의 전환, 신규 통행)</w:t>
            </w:r>
            <w:r>
              <w:rPr>
                <w:rFonts w:ascii="맑은 고딕" w:hAnsi="맑은 고딕" w:eastAsia="맑은 고딕" w:cs="맑은 고딕"/>
                <w:color w:val="1D2A38"/>
                <w:sz w:val="19"/>
              </w:rPr>
              <w:t>으로 나눠 추정한다. 운임수입은 순증분만 인정하고, 접근시간 절감 편익은 전환분도 포함한다. 4개 단지 거주자(약 1.2만 명) 기준 신설역 일 승하차는 약 4.5천~8.9천(제안 위치, 보수~상향 스크리닝, 가정, 기준 약 6.9천)이며 대부분은 전환분으로 본다. 서울 8호선 남위례역도 개통 직후 인접 복정역 이용객이 줄었다는 집계가 있어 신설역 수요의 상당 부분이 전환분이었던 것으로 보인다(10절). 장승배기역은 자료 간 불일치로 제외했다.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5. 미래 수요: 이미 진행 중인 정비사업</w:t>
      </w:r>
    </w:p>
    <w:p>
      <w:pPr>
        <w:keepNext/>
        <w:autoSpaceDE w:val="0"/>
        <w:autoSpaceDN w:val="0"/>
        <w:spacing w:before="80" w:after="40"/>
        <w:jc w:val="center"/>
      </w:pPr>
      <w:r>
        <w:drawing>
          <wp:inline xmlns:a="http://schemas.openxmlformats.org/drawingml/2006/main" xmlns:pic="http://schemas.openxmlformats.org/drawingml/2006/picture">
            <wp:extent cx="6048000" cy="2358720"/>
            <wp:docPr id="8" name="Picture 8"/>
            <wp:cNvGraphicFramePr>
              <a:graphicFrameLocks noChangeAspect="1"/>
            </wp:cNvGraphicFramePr>
            <a:graphic>
              <a:graphicData uri="http://schemas.openxmlformats.org/drawingml/2006/picture">
                <pic:pic>
                  <pic:nvPicPr>
                    <pic:cNvPr id="0" name="image.png"/>
                    <pic:cNvPicPr/>
                  </pic:nvPicPr>
                  <pic:blipFill>
                    <a:blip r:embed="rId18"/>
                    <a:stretch>
                      <a:fillRect/>
                    </a:stretch>
                  </pic:blipFill>
                  <pic:spPr>
                    <a:xfrm>
                      <a:off x="0" y="0"/>
                      <a:ext cx="6048000" cy="23587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서울시 모아타운 관리계획 기준. 계획상 순증이며 역 신설에 따른 증가가 아님.</w:t>
      </w:r>
    </w:p>
    <w:tbl>
      <w:tblPr>
        <w:tblW w:w="9751" w:type="dxa"/>
        <w:jc w:val="center"/>
        <w:tblLayout w:type="fixed"/>
        <w:tblLook w:firstColumn="1" w:firstRow="1" w:lastColumn="0" w:lastRow="0" w:noHBand="0" w:noVBand="1" w:val="04A0"/>
      </w:tblPr>
      <w:tblGrid>
        <w:gridCol w:w="2943"/>
        <w:gridCol w:w="3210"/>
        <w:gridCol w:w="3596"/>
      </w:tblGrid>
      <w:tr>
        <w:trPr>
          <w:cantSplit/>
          <w:tblHeader/>
        </w:trPr>
        <w:tc>
          <w:tcPr>
            <w:tcW w:type="dxa" w:w="294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구역</w:t>
            </w:r>
          </w:p>
        </w:tc>
        <w:tc>
          <w:tcPr>
            <w:tcW w:type="dxa" w:w="321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계획</w:t>
            </w:r>
          </w:p>
        </w:tc>
        <w:tc>
          <w:tcPr>
            <w:tcW w:type="dxa" w:w="359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위치·영향권</w:t>
            </w:r>
          </w:p>
        </w:tc>
      </w:tr>
      <w:tr>
        <w:trPr>
          <w:cantSplit/>
        </w:trPr>
        <w:tc>
          <w:tcPr>
            <w:tcW w:type="dxa" w:w="294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사당동 202-29 일대 (8개 구역, 83,180㎡)</w:t>
            </w:r>
          </w:p>
        </w:tc>
        <w:tc>
          <w:tcPr>
            <w:tcW w:type="dxa" w:w="321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905→1,725세대, 순증 820. 2025.12 통합심의 통과 [S4][S7]</w:t>
            </w:r>
          </w:p>
        </w:tc>
        <w:tc>
          <w:tcPr>
            <w:tcW w:type="dxa" w:w="3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설명: 남성역 반경 500m 이내 역세권 저층지, 신남성초·상도중 인접. 제안 위치보다 남성역 쪽에 걸치며 일부는 남성역 수요</w:t>
            </w:r>
          </w:p>
        </w:tc>
      </w:tr>
      <w:tr>
        <w:trPr>
          <w:cantSplit/>
        </w:trPr>
        <w:tc>
          <w:tcPr>
            <w:tcW w:type="dxa" w:w="29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성현동 1021 일대 (봉천동, 4개 구역, 약 7.1만㎡)</w:t>
            </w:r>
          </w:p>
        </w:tc>
        <w:tc>
          <w:tcPr>
            <w:tcW w:type="dxa" w:w="321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1,385→2,009세대, 순증 624 [S3]</w:t>
            </w:r>
          </w:p>
        </w:tc>
        <w:tc>
          <w:tcPr>
            <w:tcW w:type="dxa" w:w="3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구릉지 노후 주거지. 관악현대(봉천동 1000)와 지번이 인접해 가까운 것으로 보이나 정확한 경계는 서울시 위치도 확인이 필요하다</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핵심 방어 논리</w:t>
            </w:r>
            <w:r>
              <w:br/>
            </w:r>
            <w:r>
              <w:rPr>
                <w:rFonts w:ascii="맑은 고딕" w:hAnsi="맑은 고딕" w:eastAsia="맑은 고딕" w:cs="맑은 고딕"/>
                <w:color w:val="1D2A38"/>
                <w:sz w:val="19"/>
              </w:rPr>
              <w:t>신규역이 개발을 만든다고 주장하지 않는다. 이미 진행되는 도시공간 재편을 두고 “현재 인구만 보고 교통인프라를 판단하면 미래 수요를 과소평가할 수 있다”는 점만 제시한다. 위치가 확인된 사당동 구역도 일부는 기존 남성역 이용자이므로 전부를 신설역 수요로 보지 않는다.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6. 기술환경: 확인된 것과 확인해야 할 것</w:t>
      </w:r>
    </w:p>
    <w:p>
      <w:pPr>
        <w:autoSpaceDE w:val="0"/>
        <w:autoSpaceDN w:val="0"/>
        <w:spacing w:after="120"/>
      </w:pPr>
      <w:r>
        <w:rPr>
          <w:rFonts w:ascii="맑은 고딕" w:hAnsi="맑은 고딕" w:eastAsia="맑은 고딕" w:cs="맑은 고딕"/>
          <w:color w:val="1D2A38"/>
          <w:sz w:val="20"/>
        </w:rPr>
        <w:t xml:space="preserve">서울시 지하철건설본부의 「7호선 7-21공구(남성정거장~숭실대입구정거장) 시공사례」가 공개돼 있어 이 구간은 실제 시공 기록이 남은 구간이다. [S8] 이 자료는 역 신설 가능성의 증명이 아니라, </w:t>
      </w:r>
      <w:r>
        <w:rPr>
          <w:rFonts w:ascii="맑은 고딕" w:hAnsi="맑은 고딕" w:eastAsia="맑은 고딕" w:cs="맑은 고딕"/>
          <w:b/>
          <w:color w:val="1D2A38"/>
          <w:sz w:val="20"/>
        </w:rPr>
        <w:t>현재 선로·구조 조건을 기준으로 별도 기술검토가 필요하다</w:t>
      </w:r>
      <w:r>
        <w:rPr>
          <w:rFonts w:ascii="맑은 고딕" w:hAnsi="맑은 고딕" w:eastAsia="맑은 고딕" w:cs="맑은 고딕"/>
          <w:color w:val="1D2A38"/>
          <w:sz w:val="20"/>
        </w:rPr>
        <w:t>는 근거로만 쓴다.</w:t>
      </w:r>
    </w:p>
    <w:tbl>
      <w:tblPr>
        <w:tblW w:w="9751" w:type="dxa"/>
        <w:jc w:val="center"/>
        <w:tblLayout w:type="fixed"/>
        <w:tblLook w:firstColumn="1" w:firstRow="1" w:lastColumn="0" w:lastRow="0" w:noHBand="0" w:noVBand="1" w:val="04A0"/>
      </w:tblPr>
      <w:tblGrid>
        <w:gridCol w:w="3295"/>
        <w:gridCol w:w="6456"/>
      </w:tblGrid>
      <w:tr>
        <w:trPr>
          <w:cantSplit/>
          <w:tblHeader/>
        </w:trPr>
        <w:tc>
          <w:tcPr>
            <w:tcW w:type="dxa" w:w="32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c>
          <w:tcPr>
            <w:tcW w:type="dxa" w:w="645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이유</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선로 중심선·종단구배·곡선</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후보 위치와의 수평거리, 정거장 설치 가능 선형 (선로는 사당로와 일치하지 않음)</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심도·지층·터널 구조</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신설 방식(확폭·신규 구조), 운행선 보호, 기초 조건</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지형·지질 기록</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시공사례 원문에서 사당고개·봉천고개 지형과 남성역 주변 지반이 다뤄졌는지 원문 대조 필요</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운행 중 공사 조건</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방재·환기·대피계획, 야간 시공, 운행 영향</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역내 이동시간</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출입구·승강설비 포함 접근시간 (도보시간과 합산)</w:t>
            </w:r>
          </w:p>
        </w:tc>
      </w:tr>
      <w:tr>
        <w:trPr>
          <w:cantSplit/>
        </w:trPr>
        <w:tc>
          <w:tcPr>
            <w:tcW w:type="dxa" w:w="32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공법 선례(운행 중 정거장 추가)</w:t>
            </w:r>
          </w:p>
        </w:tc>
        <w:tc>
          <w:tcPr>
            <w:tcW w:type="dxa" w:w="645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도쿄메트로 도라노몬힐스역(2016.2 설치공사 착수 → 2020.6 개업)과 싱가포르 캔버라역(영업 종료 시간대 중심 시공, 임시 덮개 설치)이 운영 중인 노선에 정거장을 추가했다 [S30][S33]. 7호선 구조·지질과 달라 직접 근거는 아니며 공법 검토의 참고다</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7. 기존 승객 시간손실과 경제성 스크리닝 (공개 자료 기반 추정)</w:t>
      </w:r>
    </w:p>
    <w:p>
      <w:pPr>
        <w:autoSpaceDE w:val="0"/>
        <w:autoSpaceDN w:val="0"/>
        <w:spacing w:after="120"/>
      </w:pPr>
      <w:r>
        <w:rPr>
          <w:rFonts w:ascii="맑은 고딕" w:hAnsi="맑은 고딕" w:eastAsia="맑은 고딕" w:cs="맑은 고딕"/>
          <w:color w:val="1D2A38"/>
          <w:sz w:val="20"/>
        </w:rPr>
        <w:t xml:space="preserve">정차가 늘면 해당 구간을 지나는 기존 승객의 운행시간이 늘어난다. 서울교통공사 단면 자료를 받기 전이라 공개 총량으로 추정했다. 아래 값은 </w:t>
      </w:r>
      <w:r>
        <w:rPr>
          <w:rFonts w:ascii="맑은 고딕" w:hAnsi="맑은 고딕" w:eastAsia="맑은 고딕" w:cs="맑은 고딕"/>
          <w:b/>
          <w:color w:val="1D2A38"/>
          <w:sz w:val="20"/>
        </w:rPr>
        <w:t>추정 범위</w:t>
      </w:r>
      <w:r>
        <w:rPr>
          <w:rFonts w:ascii="맑은 고딕" w:hAnsi="맑은 고딕" w:eastAsia="맑은 고딕" w:cs="맑은 고딕"/>
          <w:color w:val="1D2A38"/>
          <w:sz w:val="20"/>
        </w:rPr>
        <w:t>이며, 서울시·서울교통공사의 실제 값으로 대체해 달라고 요청한다.</w:t>
      </w:r>
    </w:p>
    <w:tbl>
      <w:tblPr>
        <w:tblW w:w="9751" w:type="dxa"/>
        <w:jc w:val="center"/>
        <w:tblLayout w:type="fixed"/>
        <w:tblLook w:firstColumn="1" w:firstRow="1" w:lastColumn="0" w:lastRow="0" w:noHBand="0" w:noVBand="1" w:val="04A0"/>
      </w:tblPr>
      <w:tblGrid>
        <w:gridCol w:w="2648"/>
        <w:gridCol w:w="1565"/>
        <w:gridCol w:w="5537"/>
      </w:tblGrid>
      <w:tr>
        <w:trPr>
          <w:cantSplit/>
          <w:tblHeader/>
        </w:trPr>
        <w:tc>
          <w:tcPr>
            <w:tcW w:type="dxa" w:w="26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추정 항목</w:t>
            </w:r>
          </w:p>
        </w:tc>
        <w:tc>
          <w:tcPr>
            <w:tcW w:type="dxa" w:w="156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범위</w:t>
            </w:r>
          </w:p>
        </w:tc>
        <w:tc>
          <w:tcPr>
            <w:tcW w:type="dxa" w:w="553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근거</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구간 단면 수송량(양방향 합)</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15~25만 명/일</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7호선 일평균 수송 약 85.6만 명(2025, 승차 기준으로 가정) × 평균 이동거리 8~13.7km ÷ 연장 46.9km = 평균 단면 약 14.6~25.0만 명 [S10][S11][S12]. 구간별 편차는 미반영하며, 구간이 평균보다 한산한 경우의 참고치(12만)는 9절 표에 함께 표기</w:t>
            </w:r>
          </w:p>
        </w:tc>
      </w:tr>
      <w:tr>
        <w:trPr>
          <w:cantSplit/>
        </w:trPr>
        <w:tc>
          <w:tcPr>
            <w:tcW w:type="dxa" w:w="264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추가 정차 지연</w:t>
            </w:r>
          </w:p>
        </w:tc>
        <w:tc>
          <w:tcPr>
            <w:tcW w:type="dxa" w:w="15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45~60초</w:t>
            </w:r>
          </w:p>
        </w:tc>
        <w:tc>
          <w:tcPr>
            <w:tcW w:type="dxa" w:w="553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정차 20~30초 + 가감속 손실 25~31초 (최고속도 80~100km/h, 가속 3.0·감속 3.5km/h/s 가정)</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850"/>
        <w:gridCol w:w="1153"/>
        <w:gridCol w:w="1884"/>
        <w:gridCol w:w="1674"/>
        <w:gridCol w:w="1884"/>
        <w:gridCol w:w="2303"/>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11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단면×지연</w:t>
            </w:r>
          </w:p>
        </w:tc>
        <w:tc>
          <w:tcPr>
            <w:tcW w:type="dxa" w:w="188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지체(승객-시간)</w:t>
            </w:r>
          </w:p>
        </w:tc>
        <w:tc>
          <w:tcPr>
            <w:tcW w:type="dxa" w:w="167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신설역 일 승하차</w:t>
            </w:r>
          </w:p>
        </w:tc>
        <w:tc>
          <w:tcPr>
            <w:tcW w:type="dxa" w:w="188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평균 접근시간 절감</w:t>
            </w:r>
          </w:p>
        </w:tc>
        <w:tc>
          <w:tcPr>
            <w:tcW w:type="dxa" w:w="230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접근시간 편익(승객-시간)</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낙관</w:t>
            </w:r>
          </w:p>
        </w:tc>
        <w:tc>
          <w:tcPr>
            <w:tcW w:type="dxa" w:w="11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15만 × 45초</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68만</w:t>
            </w:r>
          </w:p>
        </w:tc>
        <w:tc>
          <w:tcPr>
            <w:tcW w:type="dxa" w:w="167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8.9천</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9.5분 (경사 +30%)</w:t>
            </w:r>
          </w:p>
        </w:tc>
        <w:tc>
          <w:tcPr>
            <w:tcW w:type="dxa" w:w="23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51만</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w:t>
            </w:r>
          </w:p>
        </w:tc>
        <w:tc>
          <w:tcPr>
            <w:tcW w:type="dxa" w:w="11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18만 × 50초</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91만</w:t>
            </w:r>
          </w:p>
        </w:tc>
        <w:tc>
          <w:tcPr>
            <w:tcW w:type="dxa" w:w="167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6.9천</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7.3분</w:t>
            </w:r>
          </w:p>
        </w:tc>
        <w:tc>
          <w:tcPr>
            <w:tcW w:type="dxa" w:w="230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약 31만</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비관</w:t>
            </w:r>
          </w:p>
        </w:tc>
        <w:tc>
          <w:tcPr>
            <w:tcW w:type="dxa" w:w="11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25만 × 60초</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약 152만</w:t>
            </w:r>
          </w:p>
        </w:tc>
        <w:tc>
          <w:tcPr>
            <w:tcW w:type="dxa" w:w="167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4.5천</w:t>
            </w:r>
          </w:p>
        </w:tc>
        <w:tc>
          <w:tcPr>
            <w:tcW w:type="dxa" w:w="188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7.3분</w:t>
            </w:r>
          </w:p>
        </w:tc>
        <w:tc>
          <w:tcPr>
            <w:tcW w:type="dxa" w:w="230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약 20만</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접근시간 절감 7.3분은 제안 위치 기준 수요 가중 평균(3절 모형). 경사 +30%는 2024년 보도의 상도중 기준 도보(남성역 19분·숭실대입구역 26분)가 평지 모형 추정(약 15분·16분)보다 23~61% 길다는 점에서 둔 낙관 가정이다. 화폐화는 시간가치에 비례하며 편익과 지체가 같은 시간가치를 쓰므로, 승객-시간 비교는 시간가치와 무관하다. 시간가치는 공식 값 확인이 필요하다(참고 범위 약 5천~1.16만 원/시간 가정, 지체 연 약 34~176억 원). 산식: 단면 × 지연초 ÷ 3,600 × 365. 낙관·중간·비관은 위 추정 범위(지연 45~60초, 단면 15~25만) 안에서 구성했으며, 9절의 36초 조건은 정차시간 단축 설계를 적용한 별도 민감도다.</w:t>
      </w:r>
    </w:p>
    <w:p>
      <w:pPr>
        <w:keepNext/>
        <w:autoSpaceDE w:val="0"/>
        <w:autoSpaceDN w:val="0"/>
        <w:spacing w:before="80" w:after="40"/>
        <w:jc w:val="center"/>
      </w:pPr>
      <w:r>
        <w:drawing>
          <wp:inline xmlns:a="http://schemas.openxmlformats.org/drawingml/2006/main" xmlns:pic="http://schemas.openxmlformats.org/drawingml/2006/picture">
            <wp:extent cx="6048000" cy="3628800"/>
            <wp:docPr id="9" name="Picture 9"/>
            <wp:cNvGraphicFramePr>
              <a:graphicFrameLocks noChangeAspect="1"/>
            </wp:cNvGraphicFramePr>
            <a:graphic>
              <a:graphicData uri="http://schemas.openxmlformats.org/drawingml/2006/picture">
                <pic:pic>
                  <pic:nvPicPr>
                    <pic:cNvPr id="0" name="image.png"/>
                    <pic:cNvPicPr/>
                  </pic:nvPicPr>
                  <pic:blipFill>
                    <a:blip r:embed="rId19"/>
                    <a:stretch>
                      <a:fillRect/>
                    </a:stretch>
                  </pic:blipFill>
                  <pic:spPr>
                    <a:xfrm>
                      <a:off x="0" y="0"/>
                      <a:ext cx="6048000" cy="36288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연 환산 억 원. 편익은 접근시간 절감만 포함하며 운임 순증·버스 운행비 절감·환경 편익은 제외했다. 시나리오 값은 위 표와 같다.</w:t>
      </w:r>
    </w:p>
    <w:p>
      <w:pPr>
        <w:pStyle w:val="Heading3"/>
        <w:autoSpaceDE w:val="0"/>
        <w:autoSpaceDN w:val="0"/>
      </w:pPr>
      <w:r>
        <w:rPr>
          <w:rFonts w:ascii="맑은 고딕" w:hAnsi="맑은 고딕" w:eastAsia="맑은 고딕" w:cs="맑은 고딕"/>
          <w:b/>
          <w:color w:val="173F5F"/>
          <w:sz w:val="24"/>
        </w:rPr>
        <w:t>시나리오별 B/C (건설비 예시별)</w:t>
      </w:r>
    </w:p>
    <w:tbl>
      <w:tblPr>
        <w:tblW w:w="9751" w:type="dxa"/>
        <w:jc w:val="center"/>
        <w:tblLayout w:type="fixed"/>
        <w:tblLook w:firstColumn="1" w:firstRow="1" w:lastColumn="0" w:lastRow="0" w:noHBand="0" w:noVBand="1" w:val="04A0"/>
      </w:tblPr>
      <w:tblGrid>
        <w:gridCol w:w="4898"/>
        <w:gridCol w:w="939"/>
        <w:gridCol w:w="939"/>
        <w:gridCol w:w="939"/>
        <w:gridCol w:w="939"/>
        <w:gridCol w:w="1095"/>
      </w:tblGrid>
      <w:tr>
        <w:trPr>
          <w:cantSplit/>
          <w:tblHeader/>
        </w:trPr>
        <w:tc>
          <w:tcPr>
            <w:tcW w:type="dxa" w:w="489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시나리오</w:t>
            </w:r>
          </w:p>
        </w:tc>
        <w:tc>
          <w:tcPr>
            <w:tcW w:type="dxa" w:w="9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200억</w:t>
            </w:r>
          </w:p>
        </w:tc>
        <w:tc>
          <w:tcPr>
            <w:tcW w:type="dxa" w:w="9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300억</w:t>
            </w:r>
          </w:p>
        </w:tc>
        <w:tc>
          <w:tcPr>
            <w:tcW w:type="dxa" w:w="9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500억</w:t>
            </w:r>
          </w:p>
        </w:tc>
        <w:tc>
          <w:tcPr>
            <w:tcW w:type="dxa" w:w="93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700억</w:t>
            </w:r>
          </w:p>
        </w:tc>
        <w:tc>
          <w:tcPr>
            <w:tcW w:type="dxa" w:w="109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1,000억</w:t>
            </w:r>
          </w:p>
        </w:tc>
      </w:tr>
      <w:tr>
        <w:trPr>
          <w:cantSplit/>
        </w:trPr>
        <w:tc>
          <w:tcPr>
            <w:tcW w:type="dxa" w:w="48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낙관 (15만 × 45초, 8.9천 명, 9.5분)</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0.62</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0.58</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0.52</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0.47</w:t>
            </w:r>
          </w:p>
        </w:tc>
        <w:tc>
          <w:tcPr>
            <w:tcW w:type="dxa" w:w="10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0.41</w:t>
            </w:r>
          </w:p>
        </w:tc>
      </w:tr>
      <w:tr>
        <w:trPr>
          <w:cantSplit/>
        </w:trPr>
        <w:tc>
          <w:tcPr>
            <w:tcW w:type="dxa" w:w="48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 (18만 × 50초, 6.9천 명, 7.3분)</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0.29</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0.27</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0.25</w:t>
            </w:r>
          </w:p>
        </w:tc>
        <w:tc>
          <w:tcPr>
            <w:tcW w:type="dxa" w:w="93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0.23</w:t>
            </w:r>
          </w:p>
        </w:tc>
        <w:tc>
          <w:tcPr>
            <w:tcW w:type="dxa" w:w="109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0.21</w:t>
            </w:r>
          </w:p>
        </w:tc>
      </w:tr>
      <w:tr>
        <w:trPr>
          <w:cantSplit/>
        </w:trPr>
        <w:tc>
          <w:tcPr>
            <w:tcW w:type="dxa" w:w="489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비관 (25만 × 60초, 4.5천 명, 7.3분)</w:t>
            </w:r>
          </w:p>
        </w:tc>
        <w:tc>
          <w:tcPr>
            <w:tcW w:type="dxa" w:w="9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0.12</w:t>
            </w:r>
          </w:p>
        </w:tc>
        <w:tc>
          <w:tcPr>
            <w:tcW w:type="dxa" w:w="9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0.12</w:t>
            </w:r>
          </w:p>
        </w:tc>
        <w:tc>
          <w:tcPr>
            <w:tcW w:type="dxa" w:w="9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0.11</w:t>
            </w:r>
          </w:p>
        </w:tc>
        <w:tc>
          <w:tcPr>
            <w:tcW w:type="dxa" w:w="93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0.10</w:t>
            </w:r>
          </w:p>
        </w:tc>
        <w:tc>
          <w:tcPr>
            <w:tcW w:type="dxa" w:w="109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0.10</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 xml:space="preserve">B/C = 연 접근시간 편익 ÷ (연환산 건설비 + 운영비 연 5억 원 + 기존 승객 시간손실). 연환산은 연 4.5%·30년(0.0614), 시간가치 약 1.16만 원/시간(확인 필요). 건설비가 300억 원에서 700억 원으로 늘어도 낙관 시나리오의 B/C는 0.58에서 0.47로 줄어드는 데 그친다. 비용의 77~88%가 시간손실이기 때문이며, 그래서 </w:t>
      </w:r>
      <w:r>
        <w:rPr>
          <w:rFonts w:ascii="맑은 고딕" w:hAnsi="맑은 고딕" w:eastAsia="맑은 고딕" w:cs="맑은 고딕"/>
          <w:b/>
          <w:color w:val="5B6775"/>
          <w:sz w:val="17"/>
        </w:rPr>
        <w:t>건설비 절감보다 단면 수송량·정차 지연의 실측이 결과를 좌우한다</w:t>
      </w:r>
      <w:r>
        <w:rPr>
          <w:rFonts w:ascii="맑은 고딕" w:hAnsi="맑은 고딕" w:eastAsia="맑은 고딕" w:cs="맑은 고딕"/>
          <w:color w:val="5B6775"/>
          <w:sz w:val="17"/>
        </w:rPr>
        <w:t>. 이 비교는 공개 자료 기반 스크리닝이며 공식 B/C가 아니다.</w:t>
      </w:r>
    </w:p>
    <w:p>
      <w:pPr>
        <w:pStyle w:val="Heading3"/>
        <w:autoSpaceDE w:val="0"/>
        <w:autoSpaceDN w:val="0"/>
      </w:pPr>
      <w:r>
        <w:rPr>
          <w:rFonts w:ascii="맑은 고딕" w:hAnsi="맑은 고딕" w:eastAsia="맑은 고딕" w:cs="맑은 고딕"/>
          <w:b/>
          <w:color w:val="173F5F"/>
          <w:sz w:val="24"/>
        </w:rPr>
        <w:t>편익이 지체와 같아지는 단면 수송량 (만 명/일)</w:t>
      </w:r>
    </w:p>
    <w:tbl>
      <w:tblPr>
        <w:tblW w:w="9751" w:type="dxa"/>
        <w:jc w:val="center"/>
        <w:tblLayout w:type="fixed"/>
        <w:tblLook w:firstColumn="1" w:firstRow="1" w:lastColumn="0" w:lastRow="0" w:noHBand="0" w:noVBand="1" w:val="04A0"/>
      </w:tblPr>
      <w:tblGrid>
        <w:gridCol w:w="5836"/>
        <w:gridCol w:w="1304"/>
        <w:gridCol w:w="1304"/>
        <w:gridCol w:w="1304"/>
      </w:tblGrid>
      <w:tr>
        <w:trPr>
          <w:cantSplit/>
          <w:tblHeader/>
        </w:trPr>
        <w:tc>
          <w:tcPr>
            <w:tcW w:type="dxa" w:w="583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편익 시나리오 \ 추가 정차 지연</w:t>
            </w:r>
          </w:p>
        </w:tc>
        <w:tc>
          <w:tcPr>
            <w:tcW w:type="dxa" w:w="13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36초</w:t>
            </w:r>
          </w:p>
        </w:tc>
        <w:tc>
          <w:tcPr>
            <w:tcW w:type="dxa" w:w="13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45초</w:t>
            </w:r>
          </w:p>
        </w:tc>
        <w:tc>
          <w:tcPr>
            <w:tcW w:type="dxa" w:w="13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60초</w:t>
            </w:r>
          </w:p>
        </w:tc>
      </w:tr>
      <w:tr>
        <w:trPr>
          <w:cantSplit/>
        </w:trPr>
        <w:tc>
          <w:tcPr>
            <w:tcW w:type="dxa" w:w="58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낙관 편익 (약 51만 승객-시간)</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14.1</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11.3</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8.5</w:t>
            </w:r>
          </w:p>
        </w:tc>
      </w:tr>
      <w:tr>
        <w:trPr>
          <w:cantSplit/>
        </w:trPr>
        <w:tc>
          <w:tcPr>
            <w:tcW w:type="dxa" w:w="583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 편익 (약 31만)</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8.4</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6.7</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5.0</w:t>
            </w:r>
          </w:p>
        </w:tc>
      </w:tr>
      <w:tr>
        <w:trPr>
          <w:cantSplit/>
        </w:trPr>
        <w:tc>
          <w:tcPr>
            <w:tcW w:type="dxa" w:w="583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비관 편익 (약 20만)</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5.5</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4.4</w:t>
            </w:r>
          </w:p>
        </w:tc>
        <w:tc>
          <w:tcPr>
            <w:tcW w:type="dxa" w:w="13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3.3</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실제 구간 단면 수송량이 표의 값보다 작으면 접근시간 편익이 기존 승객 지체보다 커진다. 본 제안의 추정 범위(15~25만)는 공개 총량에서 거칠게 구한 값이므로, 서울교통공사의 실제 단면 수송량으로 표의 어느 칸에 해당하는지 확인해야 한다.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읽는 법</w:t>
            </w:r>
            <w:r>
              <w:br/>
            </w:r>
            <w:r>
              <w:rPr>
                <w:rFonts w:ascii="맑은 고딕" w:hAnsi="맑은 고딕" w:eastAsia="맑은 고딕" w:cs="맑은 고딕"/>
                <w:color w:val="1D2A38"/>
                <w:sz w:val="19"/>
              </w:rPr>
              <w:t xml:space="preserve">접근시간 편익은 낙관 시나리오에서도 기존 승객 지체의 약 75% 수준(약 51만 대 68만 승객-시간)이고, 중간·비관에서는 지체가 훨씬 크다. 즉 접근시간 편익만으로는 경제성이 확보되지 않으며, 결과는 </w:t>
            </w:r>
            <w:r>
              <w:rPr>
                <w:rFonts w:ascii="맑은 고딕" w:hAnsi="맑은 고딕" w:eastAsia="맑은 고딕" w:cs="맑은 고딕"/>
                <w:b/>
                <w:color w:val="1D2A38"/>
                <w:sz w:val="19"/>
              </w:rPr>
              <w:t>실제 단면 수송량, 정차 지연, 신설역 수요</w:t>
            </w:r>
            <w:r>
              <w:rPr>
                <w:rFonts w:ascii="맑은 고딕" w:hAnsi="맑은 고딕" w:eastAsia="맑은 고딕" w:cs="맑은 고딕"/>
                <w:color w:val="1D2A38"/>
                <w:sz w:val="19"/>
              </w:rPr>
              <w:t xml:space="preserve"> 세 값에 크게 좌우된다. 그래서 불리한 가능성도 숨기지 않고, 이 세 값을 서울시·서울교통공사 자료로 확정해 달라고 요청한다. 운임 순증, 버스 운행비 절감, 승용차에서 철도로 전환되는 혼잡·환경·안전 편익, 교통약자 접근성은 이 비교에 넣지 않았다.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8. 공사비: 임의의 숫자를 만들지 않는다</w:t>
      </w:r>
    </w:p>
    <w:tbl>
      <w:tblPr>
        <w:tblW w:w="9751" w:type="dxa"/>
        <w:jc w:val="center"/>
        <w:tblLayout w:type="fixed"/>
        <w:tblLook w:firstColumn="1" w:firstRow="1" w:lastColumn="0" w:lastRow="0" w:noHBand="0" w:noVBand="1" w:val="04A0"/>
      </w:tblPr>
      <w:tblGrid>
        <w:gridCol w:w="1601"/>
        <w:gridCol w:w="4091"/>
        <w:gridCol w:w="4058"/>
      </w:tblGrid>
      <w:tr>
        <w:trPr>
          <w:cantSplit/>
          <w:tblHeader/>
        </w:trPr>
        <w:tc>
          <w:tcPr>
            <w:tcW w:type="dxa" w:w="160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구분</w:t>
            </w:r>
          </w:p>
        </w:tc>
        <w:tc>
          <w:tcPr>
            <w:tcW w:type="dxa" w:w="409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현재 확인</w:t>
            </w:r>
          </w:p>
        </w:tc>
        <w:tc>
          <w:tcPr>
            <w:tcW w:type="dxa" w:w="405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제안서 처리</w:t>
            </w:r>
          </w:p>
        </w:tc>
      </w:tr>
      <w:tr>
        <w:trPr>
          <w:cantSplit/>
        </w:trPr>
        <w:tc>
          <w:tcPr>
            <w:tcW w:type="dxa" w:w="16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2024년 서울시 입장</w:t>
            </w:r>
          </w:p>
        </w:tc>
        <w:tc>
          <w:tcPr>
            <w:tcW w:type="dxa" w:w="40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중간역 신설에 수백억 원 이상, 운행 중 지하구간의 기술·시공 난이도 언급 [S1]</w:t>
            </w:r>
          </w:p>
        </w:tc>
        <w:tc>
          <w:tcPr>
            <w:tcW w:type="dxa" w:w="405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공사비가 작다고 주장하지 않는다</w:t>
            </w:r>
          </w:p>
        </w:tc>
      </w:tr>
      <w:tr>
        <w:trPr>
          <w:cantSplit/>
        </w:trPr>
        <w:tc>
          <w:tcPr>
            <w:tcW w:type="dxa" w:w="160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총사업비</w:t>
            </w:r>
          </w:p>
        </w:tc>
        <w:tc>
          <w:tcPr>
            <w:tcW w:type="dxa" w:w="409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설계·물량 산출 전이라 확정 불가</w:t>
            </w:r>
          </w:p>
        </w:tc>
        <w:tc>
          <w:tcPr>
            <w:tcW w:type="dxa" w:w="405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저·중·고 시나리오를 원가 산정 후 적용 요청</w:t>
            </w:r>
          </w:p>
        </w:tc>
      </w:tr>
      <w:tr>
        <w:trPr>
          <w:cantSplit/>
        </w:trPr>
        <w:tc>
          <w:tcPr>
            <w:tcW w:type="dxa" w:w="160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비교 사례</w:t>
            </w:r>
          </w:p>
        </w:tc>
        <w:tc>
          <w:tcPr>
            <w:tcW w:type="dxa" w:w="409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 방식·연도·공법 차이가 큼</w:t>
            </w:r>
          </w:p>
        </w:tc>
        <w:tc>
          <w:tcPr>
            <w:tcW w:type="dxa" w:w="405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역사·연결공사·운행선 보호·보상·부대공사를 분리해 비교 요청</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color w:val="1D2A38"/>
                <w:sz w:val="19"/>
              </w:rPr>
              <w:t>지금 총사업비를 임의로 제시하면 오히려 약점이 된다. 실제 선형·심도·구조가 확인된 후 설계수량과 유사 사례로 산정하도록 요청한다.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color w:val="1D2A38"/>
                <w:sz w:val="19"/>
              </w:rPr>
              <w:t>참고로 10절 사례의 사업비는 보스턴 Assembly역 최대 약 5,700만 달러(2014), 워싱턴 NoMa역 약 1.04억 달러(2004), 싱가포르 캔버라역 약 S$2.28억(2019), 청학역 약 2,540억 원(2025)으로 폭이 넓고 연도·통화·구조가 달라 서울에 그대로 적용할 수 없다. 9절에서 쓰는 건설비 300억 원은 낮은 쪽의 예시이므로, 건설비 1,000억 원일 때의 민감도도 함께 제시한다.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9. 서울시 선정 기준과 충족 전략</w:t>
      </w:r>
    </w:p>
    <w:tbl>
      <w:tblPr>
        <w:tblW w:w="9751" w:type="dxa"/>
        <w:jc w:val="center"/>
        <w:tblLayout w:type="fixed"/>
        <w:tblLook w:firstColumn="1" w:firstRow="1" w:lastColumn="0" w:lastRow="0" w:noHBand="0" w:noVBand="1" w:val="04A0"/>
      </w:tblPr>
      <w:tblGrid>
        <w:gridCol w:w="1812"/>
        <w:gridCol w:w="3969"/>
        <w:gridCol w:w="3969"/>
      </w:tblGrid>
      <w:tr>
        <w:trPr>
          <w:cantSplit/>
          <w:tblHeader/>
        </w:trPr>
        <w:tc>
          <w:tcPr>
            <w:tcW w:type="dxa" w:w="181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기준</w:t>
            </w:r>
          </w:p>
        </w:tc>
        <w:tc>
          <w:tcPr>
            <w:tcW w:type="dxa" w:w="39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39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비고</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3차 선정</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250개 후보를 경제성(B/C 0.7 이상)과 정책성(AHP 0.5 이상)으로 종합 검토해 6개 선정 [S14]</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서울시는 두 기준을 함께 적용했다고 설명</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국토부 수립지침(2014)</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대상 노선은 B/C 0.7 이상이거나 AHP 0.5 이상으로 서술된 것으로 보임 [S15]</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최신 지침과 서울시 적용 방식은 서울시에 확인</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2차 선정</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경제적 타당성(B/C 0.85 이상) 최소조건을 만족한 노선 중 서울형 지역균형발전 평가지표로 선정, 동 단위 철도 접근성·밀집도 지표 추가 [S13]</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경제성 최소기준은 필요(2차 B/C 0.85, 3차 0.7)</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예타 제도 개편</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2026.3.10 예비타당성조사 제도 개편 방안에 통행가치 등 편익 가치 현실화 포함, B/C 상승 요소로 적용 [S14]</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편익과 기존 승객 지체 비용에 함께 적용되므로 순효과는 별도 계산</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정책성 근거 정렬</w:t>
      </w:r>
    </w:p>
    <w:tbl>
      <w:tblPr>
        <w:tblW w:w="9751" w:type="dxa"/>
        <w:jc w:val="center"/>
        <w:tblLayout w:type="fixed"/>
        <w:tblLook w:firstColumn="1" w:firstRow="1" w:lastColumn="0" w:lastRow="0" w:noHBand="0" w:noVBand="1" w:val="04A0"/>
      </w:tblPr>
      <w:tblGrid>
        <w:gridCol w:w="2471"/>
        <w:gridCol w:w="4998"/>
        <w:gridCol w:w="2281"/>
      </w:tblGrid>
      <w:tr>
        <w:trPr>
          <w:cantSplit/>
          <w:tblHeader/>
        </w:trPr>
        <w:tc>
          <w:tcPr>
            <w:tcW w:type="dxa" w:w="247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정책 항목</w:t>
            </w:r>
          </w:p>
        </w:tc>
        <w:tc>
          <w:tcPr>
            <w:tcW w:type="dxa" w:w="499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본 사업의 근거</w:t>
            </w:r>
          </w:p>
        </w:tc>
        <w:tc>
          <w:tcPr>
            <w:tcW w:type="dxa" w:w="228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상태</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철도 소외 해소(10분 접근)</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구간 정중앙의 가까운 기존역까지 직선 약 0.95km, 중간 생활권 도보 10~26분, 행정동 평균에 가려진 동 내부 격차</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교통약자·경사지</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보행약자·고령자 속도 기준에서 800m가 13~17분 (아래 표), 경사는 별도</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계산, 공식 GIS 필요</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개발계획 연계</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모아타운 사당동 +820세대(남성역 인접), 성현동 +624세대</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 단위 접근성 지표</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서울시도 2차 계획에서 동 단위 철도 접근성·밀집도를 지표로 추가 [S13]</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인접 자치구 협력</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관악구 소재 단지 포함, 동작구·관악구 공동 의견 요청</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모달시프트·환경</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버스·승용차에서 철도로의 전환</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C</w:t>
            </w:r>
          </w:p>
        </w:tc>
      </w:tr>
      <w:tr>
        <w:trPr>
          <w:cantSplit/>
        </w:trPr>
        <w:tc>
          <w:tcPr>
            <w:tcW w:type="dxa" w:w="247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투자 효율(수혜 인구당 사업비)</w:t>
            </w:r>
          </w:p>
        </w:tc>
        <w:tc>
          <w:tcPr>
            <w:tcW w:type="dxa" w:w="499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신규 500m 역세권 진입 약 8.8천 명 기준 342~798만 원/명(건설비 300~700억 원). 서울시 3차 계획 평균 약 2,555만 원/명(9조 1,996억 원 ÷ 영향권 수혜 +36만 명 [S39])의 13~31%. 기존역 800m 밖 직접 수혜 약 3.9천 명 기준으로도 30~71%</w:t>
            </w:r>
          </w:p>
        </w:tc>
        <w:tc>
          <w:tcPr>
            <w:tcW w:type="dxa" w:w="228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 (정의 상이, 참고용)</w:t>
            </w:r>
          </w:p>
        </w:tc>
      </w:tr>
    </w:tbl>
    <w:p>
      <w:pPr>
        <w:autoSpaceDE w:val="0"/>
        <w:autoSpaceDN w:val="0"/>
        <w:spacing w:after="40" w:line="144" w:lineRule="auto"/>
      </w:pPr>
    </w:p>
    <w:p>
      <w:pPr>
        <w:keepNext/>
        <w:autoSpaceDE w:val="0"/>
        <w:autoSpaceDN w:val="0"/>
        <w:spacing w:before="80" w:after="40"/>
        <w:jc w:val="center"/>
      </w:pPr>
      <w:r>
        <w:drawing>
          <wp:inline xmlns:a="http://schemas.openxmlformats.org/drawingml/2006/main" xmlns:pic="http://schemas.openxmlformats.org/drawingml/2006/picture">
            <wp:extent cx="6048000" cy="3265920"/>
            <wp:docPr id="10" name="Picture 10"/>
            <wp:cNvGraphicFramePr>
              <a:graphicFrameLocks noChangeAspect="1"/>
            </wp:cNvGraphicFramePr>
            <a:graphic>
              <a:graphicData uri="http://schemas.openxmlformats.org/drawingml/2006/picture">
                <pic:pic>
                  <pic:nvPicPr>
                    <pic:cNvPr id="0" name="image.png"/>
                    <pic:cNvPicPr/>
                  </pic:nvPicPr>
                  <pic:blipFill>
                    <a:blip r:embed="rId20"/>
                    <a:stretch>
                      <a:fillRect/>
                    </a:stretch>
                  </pic:blipFill>
                  <pic:spPr>
                    <a:xfrm>
                      <a:off x="0" y="0"/>
                      <a:ext cx="6048000" cy="32659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세대당 2.3명 가정. 교통 편익·기존 승객 시간손실은 반영 전이며, 서울시 ‘영향권 수혜인구’의 정의·반경이 다를 수 있어 서울시 기준으로 재산정을 요청한다.</w:t>
      </w:r>
    </w:p>
    <w:p>
      <w:pPr>
        <w:pStyle w:val="Heading3"/>
        <w:autoSpaceDE w:val="0"/>
        <w:autoSpaceDN w:val="0"/>
      </w:pPr>
      <w:r>
        <w:rPr>
          <w:rFonts w:ascii="맑은 고딕" w:hAnsi="맑은 고딕" w:eastAsia="맑은 고딕" w:cs="맑은 고딕"/>
          <w:b/>
          <w:color w:val="173F5F"/>
          <w:sz w:val="24"/>
        </w:rPr>
        <w:t>보행 속도별 도보시간 (평지 기준, 분)</w:t>
      </w:r>
    </w:p>
    <w:tbl>
      <w:tblPr>
        <w:tblW w:w="9751" w:type="dxa"/>
        <w:jc w:val="center"/>
        <w:tblLayout w:type="fixed"/>
        <w:tblLook w:firstColumn="1" w:firstRow="1" w:lastColumn="0" w:lastRow="0" w:noHBand="0" w:noVBand="1" w:val="04A0"/>
      </w:tblPr>
      <w:tblGrid>
        <w:gridCol w:w="4432"/>
        <w:gridCol w:w="1772"/>
        <w:gridCol w:w="1772"/>
        <w:gridCol w:w="1772"/>
      </w:tblGrid>
      <w:tr>
        <w:trPr>
          <w:cantSplit/>
          <w:tblHeader/>
        </w:trPr>
        <w:tc>
          <w:tcPr>
            <w:tcW w:type="dxa" w:w="443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보행 속도</w:t>
            </w:r>
          </w:p>
        </w:tc>
        <w:tc>
          <w:tcPr>
            <w:tcW w:type="dxa" w:w="177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500m</w:t>
            </w:r>
          </w:p>
        </w:tc>
        <w:tc>
          <w:tcPr>
            <w:tcW w:type="dxa" w:w="177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800m</w:t>
            </w:r>
          </w:p>
        </w:tc>
        <w:tc>
          <w:tcPr>
            <w:tcW w:type="dxa" w:w="177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1,000m</w:t>
            </w:r>
          </w:p>
        </w:tc>
      </w:tr>
      <w:tr>
        <w:trPr>
          <w:cantSplit/>
        </w:trPr>
        <w:tc>
          <w:tcPr>
            <w:tcW w:type="dxa" w:w="44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일반 1.34m/s</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6.2</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10.0</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12.4</w:t>
            </w:r>
          </w:p>
        </w:tc>
      </w:tr>
      <w:tr>
        <w:trPr>
          <w:cantSplit/>
        </w:trPr>
        <w:tc>
          <w:tcPr>
            <w:tcW w:type="dxa" w:w="44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보행약자 1.0m/s</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8.3</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13.3</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16.7</w:t>
            </w:r>
          </w:p>
        </w:tc>
      </w:tr>
      <w:tr>
        <w:trPr>
          <w:cantSplit/>
        </w:trPr>
        <w:tc>
          <w:tcPr>
            <w:tcW w:type="dxa" w:w="443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고령자 0.8m/s</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10.4</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16.7</w:t>
            </w:r>
          </w:p>
        </w:tc>
        <w:tc>
          <w:tcPr>
            <w:tcW w:type="dxa" w:w="177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“역까지 10분”을 일반 보행자 800m로 보면 고령자는 약 17분이 걸린다. 경사지는 여기에 추가 시간이 붙으며 공식 GIS 보행분석으로 측정한다.</w:t>
      </w:r>
    </w:p>
    <w:p>
      <w:pPr>
        <w:pStyle w:val="Heading3"/>
        <w:autoSpaceDE w:val="0"/>
        <w:autoSpaceDN w:val="0"/>
      </w:pPr>
      <w:r>
        <w:rPr>
          <w:rFonts w:ascii="맑은 고딕" w:hAnsi="맑은 고딕" w:eastAsia="맑은 고딕" w:cs="맑은 고딕"/>
          <w:b/>
          <w:color w:val="173F5F"/>
          <w:sz w:val="24"/>
        </w:rPr>
        <w:t>경제성 충족 조건 (B/C 0.7 기준, 예시)</w:t>
      </w:r>
    </w:p>
    <w:tbl>
      <w:tblPr>
        <w:tblW w:w="9751" w:type="dxa"/>
        <w:jc w:val="center"/>
        <w:tblLayout w:type="fixed"/>
        <w:tblLook w:firstColumn="1" w:firstRow="1" w:lastColumn="0" w:lastRow="0" w:noHBand="0" w:noVBand="1" w:val="04A0"/>
      </w:tblPr>
      <w:tblGrid>
        <w:gridCol w:w="4290"/>
        <w:gridCol w:w="1950"/>
        <w:gridCol w:w="1170"/>
        <w:gridCol w:w="1170"/>
        <w:gridCol w:w="1170"/>
      </w:tblGrid>
      <w:tr>
        <w:trPr>
          <w:cantSplit/>
          <w:tblHeader/>
        </w:trPr>
        <w:tc>
          <w:tcPr>
            <w:tcW w:type="dxa" w:w="429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추가 정차 지연 \ 단면 수송량</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12만(참고)</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15만</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18만</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25만</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36초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10.1천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11.8천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13.5천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17.6천</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45초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11.8천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14.0천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16.1천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21.2천</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60초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14.7천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17.6천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20.4천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27.2천</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b/>
          <w:color w:val="5B6775"/>
          <w:sz w:val="17"/>
        </w:rPr>
        <w:t>접근시간 절감 9.5분(경사 +30%)을 적용하면</w:t>
      </w:r>
      <w:r>
        <w:rPr>
          <w:rFonts w:ascii="맑은 고딕" w:hAnsi="맑은 고딕" w:eastAsia="맑은 고딕" w:cs="맑은 고딕"/>
          <w:color w:val="5B6775"/>
          <w:sz w:val="17"/>
        </w:rPr>
        <w:t xml:space="preserve"> (굵은 칸은 낙관 수요 8.9천 명으로 충족 가능한 조합)</w:t>
      </w:r>
    </w:p>
    <w:tbl>
      <w:tblPr>
        <w:tblW w:w="9751" w:type="dxa"/>
        <w:jc w:val="center"/>
        <w:tblLayout w:type="fixed"/>
        <w:tblLook w:firstColumn="1" w:firstRow="1" w:lastColumn="0" w:lastRow="0" w:noHBand="0" w:noVBand="1" w:val="04A0"/>
      </w:tblPr>
      <w:tblGrid>
        <w:gridCol w:w="4290"/>
        <w:gridCol w:w="1950"/>
        <w:gridCol w:w="1170"/>
        <w:gridCol w:w="1170"/>
        <w:gridCol w:w="1170"/>
      </w:tblGrid>
      <w:tr>
        <w:trPr>
          <w:cantSplit/>
          <w:tblHeader/>
        </w:trPr>
        <w:tc>
          <w:tcPr>
            <w:tcW w:type="dxa" w:w="429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추가 정차 지연 \ 단면 수송량</w:t>
            </w:r>
          </w:p>
        </w:tc>
        <w:tc>
          <w:tcPr>
            <w:tcW w:type="dxa" w:w="19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12만(참고)</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15만</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18만</w:t>
            </w:r>
          </w:p>
        </w:tc>
        <w:tc>
          <w:tcPr>
            <w:tcW w:type="dxa" w:w="117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25만</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36초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b/>
                <w:color w:val="1D2A38"/>
                <w:sz w:val="17"/>
              </w:rPr>
              <w:t>7.8천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9.1천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10.4천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13.5천</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45초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9.1천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10.7천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12.4천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16.3천</w:t>
            </w:r>
          </w:p>
        </w:tc>
      </w:tr>
      <w:tr>
        <w:trPr>
          <w:cantSplit/>
        </w:trPr>
        <w:tc>
          <w:tcPr>
            <w:tcW w:type="dxa" w:w="429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60초</w:t>
            </w:r>
          </w:p>
        </w:tc>
        <w:tc>
          <w:tcPr>
            <w:tcW w:type="dxa" w:w="19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11.3천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13.5천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15.7천</w:t>
            </w:r>
          </w:p>
        </w:tc>
        <w:tc>
          <w:tcPr>
            <w:tcW w:type="dxa" w:w="117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20.9천</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B/C 0.7을 맞추는 데 필요한 신설역 일 승하차(명). 가정: 건설비 300억 원 예시(연환산 연 4.5% [S23]·30년), 운영비 연 5억 원, 평균 접근시간 7.3분 절감(제안 위치 모형 값), 시간가치 약 1.16만 원/시간(확인 필요). 접근시간 절감을 9.5분(경사 +30%)으로 보면 필요 수요가 약 23% 낮아진다(36초·12만: 7.8천, 60초·25만: 20.9천). 건설비 1,000억 원이면 45초·18만 조합의 필요 수요가 16.1천에서 22.0천으로 늘어난다. B/C 1.0이면 약 14.4천~38.8천명(7.3분 기준). 본 제안의 예비 수요 범위(4.5천~8.9천)와 비교해 달성 가능한 구간을 공식 검토에서 확인한다.</w:t>
      </w:r>
    </w:p>
    <w:p>
      <w:pPr>
        <w:keepNext/>
        <w:autoSpaceDE w:val="0"/>
        <w:autoSpaceDN w:val="0"/>
        <w:spacing w:before="80" w:after="40"/>
        <w:jc w:val="center"/>
      </w:pPr>
      <w:r>
        <w:drawing>
          <wp:inline xmlns:a="http://schemas.openxmlformats.org/drawingml/2006/main" xmlns:pic="http://schemas.openxmlformats.org/drawingml/2006/picture">
            <wp:extent cx="6048000" cy="3568320"/>
            <wp:docPr id="11" name="Picture 11"/>
            <wp:cNvGraphicFramePr>
              <a:graphicFrameLocks noChangeAspect="1"/>
            </wp:cNvGraphicFramePr>
            <a:graphic>
              <a:graphicData uri="http://schemas.openxmlformats.org/drawingml/2006/picture">
                <pic:pic>
                  <pic:nvPicPr>
                    <pic:cNvPr id="0" name="image.png"/>
                    <pic:cNvPicPr/>
                  </pic:nvPicPr>
                  <pic:blipFill>
                    <a:blip r:embed="rId21"/>
                    <a:stretch>
                      <a:fillRect/>
                    </a:stretch>
                  </pic:blipFill>
                  <pic:spPr>
                    <a:xfrm>
                      <a:off x="0" y="0"/>
                      <a:ext cx="6048000" cy="35683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칸 안의 숫자는 B/C(건설비 300억 원 가정). 진한 칸이 0.7 이상이며 낙관 수요·단면 12만·정차 36초 조합 하나뿐이다. ◎는 7절 시나리오. 36초는 정차시간 단축 설계를 전제로 한 값이며, 12만 열은 구간이 평균보다 한산한 경우의 참고치다.</w:t>
      </w:r>
    </w:p>
    <w:p>
      <w:pPr>
        <w:pStyle w:val="Heading3"/>
        <w:autoSpaceDE w:val="0"/>
        <w:autoSpaceDN w:val="0"/>
      </w:pPr>
      <w:r>
        <w:rPr>
          <w:rFonts w:ascii="맑은 고딕" w:hAnsi="맑은 고딕" w:eastAsia="맑은 고딕" w:cs="맑은 고딕"/>
          <w:b/>
          <w:color w:val="173F5F"/>
          <w:sz w:val="24"/>
        </w:rPr>
        <w:t>경제성을 높이는 4가지 개선축</w:t>
      </w:r>
    </w:p>
    <w:tbl>
      <w:tblPr>
        <w:tblW w:w="9751" w:type="dxa"/>
        <w:jc w:val="center"/>
        <w:tblLayout w:type="fixed"/>
        <w:tblLook w:firstColumn="1" w:firstRow="1" w:lastColumn="0" w:lastRow="0" w:noHBand="0" w:noVBand="1" w:val="04A0"/>
      </w:tblPr>
      <w:tblGrid>
        <w:gridCol w:w="1812"/>
        <w:gridCol w:w="3969"/>
        <w:gridCol w:w="3969"/>
      </w:tblGrid>
      <w:tr>
        <w:trPr>
          <w:cantSplit/>
          <w:tblHeader/>
        </w:trPr>
        <w:tc>
          <w:tcPr>
            <w:tcW w:type="dxa" w:w="181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축</w:t>
            </w:r>
          </w:p>
        </w:tc>
        <w:tc>
          <w:tcPr>
            <w:tcW w:type="dxa" w:w="39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방안</w:t>
            </w:r>
          </w:p>
        </w:tc>
        <w:tc>
          <w:tcPr>
            <w:tcW w:type="dxa" w:w="39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기대</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 승객 지체 최소화</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정차시간 15~20초 설계, 가감속 성능 향상 차량</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추가 지연 약 38~45초 (추정 범위 45~60초 대비 감소). 낙관 시나리오에서 45초 → 36초면 B/C 0.58 → 0.69</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수요 확대</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버스→철도 전환, 장래 정비사업, 위치 확정(소공원2–상도중 사이 사거리), 숭실대 사당로 쪽 건물 접근성 확인, 모아타운·저층주거·학교 수요(현재 미반영) 정량화</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승하차 규모 상향</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비용 절감</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연결통로·부대시설 최소화, 야간 시공, 정비사업과의 동시 시공, 사당로 미확장 구간 확장 검토와 출입구·환기구 부지·지장물 정리 동시 검토 [S22]</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건설비 감소</w:t>
            </w:r>
          </w:p>
        </w:tc>
      </w:tr>
      <w:tr>
        <w:trPr>
          <w:cantSplit/>
        </w:trPr>
        <w:tc>
          <w:tcPr>
            <w:tcW w:type="dxa" w:w="181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재원 분담</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수익자·원인자 분담 구조: 청학역은 인천시 전액, NoMa역은 인근 부동산 소유자 특별부과 24%, Assembly역은 개발사 부담 약 26% (10절). 서울시·동작구·관악구·정비사업 공공기여 분담 협의</w:t>
            </w:r>
          </w:p>
        </w:tc>
        <w:tc>
          <w:tcPr>
            <w:tcW w:type="dxa" w:w="39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 부담 건설비 감소</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전략</w:t>
            </w:r>
            <w:r>
              <w:br/>
            </w:r>
            <w:r>
              <w:rPr>
                <w:rFonts w:ascii="맑은 고딕" w:hAnsi="맑은 고딕" w:eastAsia="맑은 고딕" w:cs="맑은 고딕"/>
                <w:color w:val="1D2A38"/>
                <w:sz w:val="19"/>
              </w:rPr>
              <w:t xml:space="preserve">서울시가 3차에서 경제성과 정책성을 모두 요구한 점을 인정한다. 그래서 정책성(소외 해소·교통약자·개발 연계)만 내세우지 않고, 경제성을 맞추기 위한 </w:t>
            </w:r>
            <w:r>
              <w:rPr>
                <w:rFonts w:ascii="맑은 고딕" w:hAnsi="맑은 고딕" w:eastAsia="맑은 고딕" w:cs="맑은 고딕"/>
                <w:b/>
                <w:color w:val="1D2A38"/>
                <w:sz w:val="19"/>
              </w:rPr>
              <w:t>조건(필요 수요)과 개선 수단</w:t>
            </w:r>
            <w:r>
              <w:rPr>
                <w:rFonts w:ascii="맑은 고딕" w:hAnsi="맑은 고딕" w:eastAsia="맑은 고딕" w:cs="맑은 고딕"/>
                <w:color w:val="1D2A38"/>
                <w:sz w:val="19"/>
              </w:rPr>
              <w:t>을 함께 제시해 공식 검토에서 그 조건이 충족 가능한지 확인받는다. 현재 스크리닝 수요(4.5천~8.9천)는 가장 유리한 조합(지연 36초·단면 12만·절감 9.5분, 필요 수요 약 7.8천)에서만 필요 수요에 닿으므로, 단면 수송량·정차 지연의 실측과 재원 분담 협의가 선행 과제다.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10. 벤치마크: 기존 노선 정거장 추가 사례</w:t>
      </w:r>
    </w:p>
    <w:p>
      <w:pPr>
        <w:autoSpaceDE w:val="0"/>
        <w:autoSpaceDN w:val="0"/>
        <w:spacing w:after="120"/>
      </w:pPr>
      <w:r>
        <w:rPr>
          <w:rFonts w:ascii="맑은 고딕" w:hAnsi="맑은 고딕" w:eastAsia="맑은 고딕" w:cs="맑은 고딕"/>
          <w:color w:val="1D2A38"/>
          <w:sz w:val="20"/>
        </w:rPr>
        <w:t xml:space="preserve">운영 중이거나 계획된 노선에 정거장을 추가한 사례 8건을 공개 자료로 확인했다. 구조·연도·통화가 달라 직접 비교가 아니라 </w:t>
      </w:r>
      <w:r>
        <w:rPr>
          <w:rFonts w:ascii="맑은 고딕" w:hAnsi="맑은 고딕" w:eastAsia="맑은 고딕" w:cs="맑은 고딕"/>
          <w:b/>
          <w:color w:val="1D2A38"/>
          <w:sz w:val="20"/>
        </w:rPr>
        <w:t>무엇이 승인 조건이었는지, 재원이 어떻게 나뉘었는지, 수요 전망이 실적과 어떻게 달랐는지</w:t>
      </w:r>
      <w:r>
        <w:rPr>
          <w:rFonts w:ascii="맑은 고딕" w:hAnsi="맑은 고딕" w:eastAsia="맑은 고딕" w:cs="맑은 고딕"/>
          <w:color w:val="1D2A38"/>
          <w:sz w:val="20"/>
        </w:rPr>
        <w:t>를 참고하는 용도다. 위키백과 인용 수치는 2차 자료이므로 원 출처로 대체해 확인한다.</w:t>
      </w:r>
    </w:p>
    <w:tbl>
      <w:tblPr>
        <w:tblW w:w="9751" w:type="dxa"/>
        <w:jc w:val="center"/>
        <w:tblLayout w:type="fixed"/>
        <w:tblLook w:firstColumn="1" w:firstRow="1" w:lastColumn="0" w:lastRow="0" w:noHBand="0" w:noVBand="1" w:val="04A0"/>
      </w:tblPr>
      <w:tblGrid>
        <w:gridCol w:w="1938"/>
        <w:gridCol w:w="1325"/>
        <w:gridCol w:w="2162"/>
        <w:gridCol w:w="2162"/>
        <w:gridCol w:w="2162"/>
      </w:tblGrid>
      <w:tr>
        <w:trPr>
          <w:cantSplit/>
          <w:tblHeader/>
        </w:trPr>
        <w:tc>
          <w:tcPr>
            <w:tcW w:type="dxa" w:w="193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사례</w:t>
            </w:r>
          </w:p>
        </w:tc>
        <w:tc>
          <w:tcPr>
            <w:tcW w:type="dxa" w:w="132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개통·확정</w:t>
            </w:r>
          </w:p>
        </w:tc>
        <w:tc>
          <w:tcPr>
            <w:tcW w:type="dxa" w:w="21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구조</w:t>
            </w:r>
          </w:p>
        </w:tc>
        <w:tc>
          <w:tcPr>
            <w:tcW w:type="dxa" w:w="21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재원·사업비</w:t>
            </w:r>
          </w:p>
        </w:tc>
        <w:tc>
          <w:tcPr>
            <w:tcW w:type="dxa" w:w="216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수요·효과</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 8호선 남위례역 [S25][S26][S27]</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2021.12.18 개통</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운영 중인 8호선 복정역–산성역 사이에 신설(지상역). 위례신도시(4만 가구 이상) 교통대책의 일환. 서울교통공사 시공·운영</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사업비·분담은 공개 자료로 확인하지 못함</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사전 전망 약 2만 명/일(산정 근거 미공개). 개통 직후 평일 약 6.7~7.2천 명(시민기자 집계, 공식 통계 아님). 인접 복정역이 2.1만 → 1.7만으로 줄어 약 4천은 전환, 약 3천은 순증으로 추정</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인천 GTX-B 청학역 [S16][S17][S18]</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2025.12 추진 확정</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 계획 노선(인천대입구–인천시청 약 10km 구간)에 정거장 추가</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2,540억 원, 원인자(인천시) 전액 부담</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B/C 1.03, R/C 2.20, 추가 지연 약 30초, 전 구간 일 +3,010명</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GTX-A 창릉역 [S37]</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2020.12.29 국토부 ‘고양창릉 교통대책’ 확정</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3기 신도시(고양 창릉) 교통대책에 정거장 신설 포함</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교통대책 16개 사업 총 2.2조 원 중 일부(역 단독 사업비·분담은 확인 필요)</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신도시 입주 수요와 연계(역 단독 수요 수치는 확인하지 못함)</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도쿄 JR 야마노테선 다카나와게이트웨이 [S28][S29]</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2020.3.14 개업</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시나가와–다마치 사이 신설(시나가와 0.9km·다마치 1.3km, 합 2.2km). 1971년 니시닛포리 이후 49년 만의 야마노테선 신설역</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JR동일본이 2017.2 착공, 인근 차량기지 부지 재개발과 연계(사업비는 확인하지 못함)</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이용객 약 2.8만 명(FY2024, 위키백과 인용)</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도쿄메트로 히비야선 도라노몬힐스역 [S30][S31]</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2020.6.6 개업</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가스미가세키–가미야초 사이 신설(가스미가세키 약 800m·가미야초 약 500m). 1964년 전 구간 개통 이후 약 56년 만의 신설역</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UR도시기구가 사업주체, 도쿄메트로가 설계·시공 수탁. 인접 재개발 사업과 연계(사업비·분담은 확인하지 못함)</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긴자선 도라노몬역과 환승. 2016.2 설치공사 착수</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싱가포르 North–South선 캔버라역 [S32][S33]</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2019.11.2 개통</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센바왕–이슌 사이 신설. MRT 두 번째 인필 정거장(첫 번째는 2001년 도버역)</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추정 사업비 S$2.28억(위키백과)</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도보 10분 내 17,000세대 이상, 도심 방향 이동시간 최대 10분 단축(LTA). 일 약 1.5만 명(2024.6, 위키백과)</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워싱턴 Metro Red Line NoMa–Gallaudet U [S34][S35]</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2004.11.20 개통</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시스템 최초의 인필 정거장(84번째 역)</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총 약 1.04억 달러: 연방 2,500만(24%), 지역 부동산 소유자 특별부과 2,500만(24%, 30년 분할), 워싱턴DC 약 4,400만, 민간 토지 기부 1,000만</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FHWA 사례 요약: 1998~2007년 일자리 1.5만 개 이상, 민간투자 약 11억 달러, 35개 블록 평가액 2001~2007년 4배. 일 승차 약 6.6천(2023, 위키백과)</w:t>
            </w:r>
          </w:p>
        </w:tc>
      </w:tr>
      <w:tr>
        <w:trPr>
          <w:cantSplit/>
        </w:trPr>
        <w:tc>
          <w:tcPr>
            <w:tcW w:type="dxa" w:w="193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보스턴 MBTA Orange Line Assembly역 [S36]</w:t>
            </w:r>
          </w:p>
        </w:tc>
        <w:tc>
          <w:tcPr>
            <w:tcW w:type="dxa" w:w="132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2014.9.2 개통</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1987년 이후 MBTA의 첫 신규 지하철역</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최대 약 5,700만 달러: 주 2,200만, 연방 1,600만, 개발사(Federal Realty) 1,500만(약 26%)</w:t>
            </w:r>
          </w:p>
        </w:tc>
        <w:tc>
          <w:tcPr>
            <w:tcW w:type="dxa" w:w="216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2030년 전망 일 5천 명 대비 첫해 1.9천 명, FY2019 약 4천 명(위키백과, 수치 불일치 있음)</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가장 최근 확정 사례(청학역)와의 구조 비교</w:t>
      </w:r>
    </w:p>
    <w:tbl>
      <w:tblPr>
        <w:tblW w:w="9751" w:type="dxa"/>
        <w:jc w:val="center"/>
        <w:tblLayout w:type="fixed"/>
        <w:tblLook w:firstColumn="1" w:firstRow="1" w:lastColumn="0" w:lastRow="0" w:noHBand="0" w:noVBand="1" w:val="04A0"/>
      </w:tblPr>
      <w:tblGrid>
        <w:gridCol w:w="902"/>
        <w:gridCol w:w="4612"/>
        <w:gridCol w:w="4235"/>
      </w:tblGrid>
      <w:tr>
        <w:trPr>
          <w:cantSplit/>
          <w:tblHeader/>
        </w:trPr>
        <w:tc>
          <w:tcPr>
            <w:tcW w:type="dxa" w:w="90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항목</w:t>
            </w:r>
          </w:p>
        </w:tc>
        <w:tc>
          <w:tcPr>
            <w:tcW w:type="dxa" w:w="461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GTX-B 청학역(인천)</w:t>
            </w:r>
          </w:p>
        </w:tc>
        <w:tc>
          <w:tcPr>
            <w:tcW w:type="dxa" w:w="423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본 제안(남성–숭실대입구)</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결과</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B/C 1.03, 추진 확정</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미실시</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역간 구조</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인천대입구–인천시청 약 10km (평균 정거장 거리 6.2km의 1.6배) [S17]</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2.0km (이웃 구간의 약 2배, 신설 후 0.95km·0.99km)</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추가 지연</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30초 [S18]</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45~60초 추정(단축 설계 시 약 38~45초)</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추가 수요</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전 구간 일 +3,010명</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일 승하차 4.5천~8.9천(전환 포함, 스크리닝)</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사업비</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약 2,540억 원</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공식 값 없음, 서울시 “수백억 원 이상”</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재원</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원인자 부담 원칙에 따라 인천시가 설계·공사비 전액 부담</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서울시·자치구·정비사업 분담 협의 요청</w:t>
            </w:r>
          </w:p>
        </w:tc>
      </w:tr>
      <w:tr>
        <w:trPr>
          <w:cantSplit/>
        </w:trPr>
        <w:tc>
          <w:tcPr>
            <w:tcW w:type="dxa" w:w="90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절차</w:t>
            </w:r>
          </w:p>
        </w:tc>
        <w:tc>
          <w:tcPr>
            <w:tcW w:type="dxa" w:w="461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인천시 자체 사전타당성조사 후 국가철도공단 검증, 조사 수수료 1.6억 원 [S19]</w:t>
            </w:r>
          </w:p>
        </w:tc>
        <w:tc>
          <w:tcPr>
            <w:tcW w:type="dxa" w:w="423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서울시·자치구 사전 타당성조사 추진 제안</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시사점</w:t>
            </w:r>
            <w:r>
              <w:br/>
            </w:r>
            <w:r>
              <w:rPr>
                <w:rFonts w:ascii="맑은 고딕" w:hAnsi="맑은 고딕" w:eastAsia="맑은 고딕" w:cs="맑은 고딕"/>
                <w:color w:val="1D2A38"/>
                <w:sz w:val="19"/>
              </w:rPr>
              <w:t xml:space="preserve">① </w:t>
            </w:r>
            <w:r>
              <w:rPr>
                <w:rFonts w:ascii="맑은 고딕" w:hAnsi="맑은 고딕" w:eastAsia="맑은 고딕" w:cs="맑은 고딕"/>
                <w:b/>
                <w:color w:val="1D2A38"/>
                <w:sz w:val="19"/>
              </w:rPr>
              <w:t>선례가 있다</w:t>
            </w:r>
            <w:r>
              <w:rPr>
                <w:rFonts w:ascii="맑은 고딕" w:hAnsi="맑은 고딕" w:eastAsia="맑은 고딕" w:cs="맑은 고딕"/>
                <w:color w:val="1D2A38"/>
                <w:sz w:val="19"/>
              </w:rPr>
              <w:t>: 운영 중인 노선에 정거장을 추가한 일은 서울(남위례역)을 포함해 실제로 이뤄졌다. 본 제안이 요구하는 것은 선례가 있는 유형의 사업에 대한 공식 검토다.</w:t>
            </w:r>
            <w:r>
              <w:br/>
            </w:r>
            <w:r>
              <w:rPr>
                <w:rFonts w:ascii="맑은 고딕" w:hAnsi="맑은 고딕" w:eastAsia="맑은 고딕" w:cs="맑은 고딕"/>
                <w:color w:val="1D2A38"/>
                <w:sz w:val="19"/>
              </w:rPr>
              <w:t xml:space="preserve">② </w:t>
            </w:r>
            <w:r>
              <w:rPr>
                <w:rFonts w:ascii="맑은 고딕" w:hAnsi="맑은 고딕" w:eastAsia="맑은 고딕" w:cs="맑은 고딕"/>
                <w:b/>
                <w:color w:val="1D2A38"/>
                <w:sz w:val="19"/>
              </w:rPr>
              <w:t>재원은 수익자·원인자가 나눴다</w:t>
            </w:r>
            <w:r>
              <w:rPr>
                <w:rFonts w:ascii="맑은 고딕" w:hAnsi="맑은 고딕" w:eastAsia="맑은 고딕" w:cs="맑은 고딕"/>
                <w:color w:val="1D2A38"/>
                <w:sz w:val="19"/>
              </w:rPr>
              <w:t>: 청학역은 인천시가 전액, NoMa역은 인근 부동산 소유자가 24%, Assembly역은 개발사가 약 26%를 부담했고 도라노몬힐스역은 재개발 사업과 함께 추진됐다. 본 제안도 재원 분담 방안을 먼저 협의해야 한다.</w:t>
            </w:r>
            <w:r>
              <w:br/>
            </w:r>
            <w:r>
              <w:rPr>
                <w:rFonts w:ascii="맑은 고딕" w:hAnsi="맑은 고딕" w:eastAsia="맑은 고딕" w:cs="맑은 고딕"/>
                <w:color w:val="1D2A38"/>
                <w:sz w:val="19"/>
              </w:rPr>
              <w:t xml:space="preserve">③ </w:t>
            </w:r>
            <w:r>
              <w:rPr>
                <w:rFonts w:ascii="맑은 고딕" w:hAnsi="맑은 고딕" w:eastAsia="맑은 고딕" w:cs="맑은 고딕"/>
                <w:b/>
                <w:color w:val="1D2A38"/>
                <w:sz w:val="19"/>
              </w:rPr>
              <w:t>수요 전망은 개통 직후 실적을 크게 웃돌았다</w:t>
            </w:r>
            <w:r>
              <w:rPr>
                <w:rFonts w:ascii="맑은 고딕" w:hAnsi="맑은 고딕" w:eastAsia="맑은 고딕" w:cs="맑은 고딕"/>
                <w:color w:val="1D2A38"/>
                <w:sz w:val="19"/>
              </w:rPr>
              <w:t>: 남위례역은 전망 약 2만 명 대비 개통 직후 약 7천 명, Assembly역은 2030년 전망 5천 명 대비 첫해 1.9천 명이었다. 그래서 본 제안은 수요를 보수~상향 범위(4.5천~8.9천)로만 제시하고 전환분과 순증분을 나눈다.</w:t>
            </w:r>
            <w:r>
              <w:br/>
            </w:r>
            <w:r>
              <w:rPr>
                <w:rFonts w:ascii="맑은 고딕" w:hAnsi="맑은 고딕" w:eastAsia="맑은 고딕" w:cs="맑은 고딕"/>
                <w:color w:val="1D2A38"/>
                <w:sz w:val="19"/>
              </w:rPr>
              <w:t xml:space="preserve">④ </w:t>
            </w:r>
            <w:r>
              <w:rPr>
                <w:rFonts w:ascii="맑은 고딕" w:hAnsi="맑은 고딕" w:eastAsia="맑은 고딕" w:cs="맑은 고딕"/>
                <w:b/>
                <w:color w:val="1D2A38"/>
                <w:sz w:val="19"/>
              </w:rPr>
              <w:t>차이도 있다</w:t>
            </w:r>
            <w:r>
              <w:rPr>
                <w:rFonts w:ascii="맑은 고딕" w:hAnsi="맑은 고딕" w:eastAsia="맑은 고딕" w:cs="맑은 고딕"/>
                <w:color w:val="1D2A38"/>
                <w:sz w:val="19"/>
              </w:rPr>
              <w:t xml:space="preserve">: 대부분의 사례는 신도시·재개발 같은 대규모 개발과 결합돼 있고, 청학역은 역간이 10km로 접근 편익이 크다. 본 제안은 개발 연계가 약하고(+820세대, +624세대) 단면 승객이 많아 </w:t>
            </w:r>
            <w:r>
              <w:rPr>
                <w:rFonts w:ascii="맑은 고딕" w:hAnsi="맑은 고딕" w:eastAsia="맑은 고딕" w:cs="맑은 고딕"/>
                <w:b/>
                <w:color w:val="1D2A38"/>
                <w:sz w:val="19"/>
              </w:rPr>
              <w:t>지체 비용이 상대적으로 크므로</w:t>
            </w:r>
            <w:r>
              <w:rPr>
                <w:rFonts w:ascii="맑은 고딕" w:hAnsi="맑은 고딕" w:eastAsia="맑은 고딕" w:cs="맑은 고딕"/>
                <w:color w:val="1D2A38"/>
                <w:sz w:val="19"/>
              </w:rPr>
              <w:t xml:space="preserve"> 더 엄격한 검증이 필요하다.</w:t>
            </w:r>
            <w:r>
              <w:br/>
            </w:r>
            <w:r>
              <w:rPr>
                <w:rFonts w:ascii="맑은 고딕" w:hAnsi="맑은 고딕" w:eastAsia="맑은 고딕" w:cs="맑은 고딕"/>
                <w:color w:val="1D2A38"/>
                <w:sz w:val="19"/>
              </w:rPr>
              <w:t xml:space="preserve">⑤ </w:t>
            </w:r>
            <w:r>
              <w:rPr>
                <w:rFonts w:ascii="맑은 고딕" w:hAnsi="맑은 고딕" w:eastAsia="맑은 고딕" w:cs="맑은 고딕"/>
                <w:b/>
                <w:color w:val="1D2A38"/>
                <w:sz w:val="19"/>
              </w:rPr>
              <w:t>간격의 선례</w:t>
            </w:r>
            <w:r>
              <w:rPr>
                <w:rFonts w:ascii="맑은 고딕" w:hAnsi="맑은 고딕" w:eastAsia="맑은 고딕" w:cs="맑은 고딕"/>
                <w:color w:val="1D2A38"/>
                <w:sz w:val="19"/>
              </w:rPr>
              <w:t>: 다카나와게이트웨이는 2.2km 역간(시나가와–다마치)을 0.9km와 1.3km로 나눴다. 본 제안은 1.94km를 0.95km와 0.99km로 나눠 더 균등하다.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11. 지방재정·세수효과 (보조 지표)</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원칙</w:t>
            </w:r>
            <w:r>
              <w:br/>
            </w:r>
            <w:r>
              <w:rPr>
                <w:rFonts w:ascii="맑은 고딕" w:hAnsi="맑은 고딕" w:eastAsia="맑은 고딕" w:cs="맑은 고딕"/>
                <w:color w:val="1D2A38"/>
                <w:sz w:val="19"/>
              </w:rPr>
              <w:t xml:space="preserve">세수는 본 사업의 1차 목적이 아니다. 접근성 개선 → 역세권 형성 → 거래·개발 활성화 → 과세기반 확대라는 2차 파급효과를 </w:t>
            </w:r>
            <w:r>
              <w:rPr>
                <w:rFonts w:ascii="맑은 고딕" w:hAnsi="맑은 고딕" w:eastAsia="맑은 고딕" w:cs="맑은 고딕"/>
                <w:b/>
                <w:color w:val="1D2A38"/>
                <w:sz w:val="19"/>
              </w:rPr>
              <w:t>세목별 귀속을 나눠</w:t>
            </w:r>
            <w:r>
              <w:rPr>
                <w:rFonts w:ascii="맑은 고딕" w:hAnsi="맑은 고딕" w:eastAsia="맑은 고딕" w:cs="맑은 고딕"/>
                <w:color w:val="1D2A38"/>
                <w:sz w:val="19"/>
              </w:rPr>
              <w:t xml:space="preserve"> 보조 지표로만 제시한다. 집값 상승액을 세수로 환산하지 않고, 국세는 지방재정 효과에 넣지 않는다.</w:t>
            </w:r>
          </w:p>
        </w:tc>
      </w:tr>
    </w:tbl>
    <w:p>
      <w:pPr>
        <w:autoSpaceDE w:val="0"/>
        <w:autoSpaceDN w:val="0"/>
        <w:spacing w:after="60" w:line="168" w:lineRule="auto"/>
      </w:pPr>
    </w:p>
    <w:tbl>
      <w:tblPr>
        <w:tblW w:w="9751" w:type="dxa"/>
        <w:jc w:val="center"/>
        <w:tblLayout w:type="fixed"/>
        <w:tblLook w:firstColumn="1" w:firstRow="1" w:lastColumn="0" w:lastRow="0" w:noHBand="0" w:noVBand="1" w:val="04A0"/>
      </w:tblPr>
      <w:tblGrid>
        <w:gridCol w:w="1943"/>
        <w:gridCol w:w="3775"/>
        <w:gridCol w:w="4032"/>
      </w:tblGrid>
      <w:tr>
        <w:trPr>
          <w:cantSplit/>
          <w:tblHeader/>
        </w:trPr>
        <w:tc>
          <w:tcPr>
            <w:tcW w:type="dxa" w:w="194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세목</w:t>
            </w:r>
          </w:p>
        </w:tc>
        <w:tc>
          <w:tcPr>
            <w:tcW w:type="dxa" w:w="377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귀속</w:t>
            </w:r>
          </w:p>
        </w:tc>
        <w:tc>
          <w:tcPr>
            <w:tcW w:type="dxa" w:w="4032"/>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비고</w:t>
            </w:r>
          </w:p>
        </w:tc>
      </w:tr>
      <w:tr>
        <w:trPr>
          <w:cantSplit/>
        </w:trPr>
        <w:tc>
          <w:tcPr>
            <w:tcW w:type="dxa" w:w="194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취득세</w:t>
            </w:r>
          </w:p>
        </w:tc>
        <w:tc>
          <w:tcPr>
            <w:tcW w:type="dxa" w:w="37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w:t>
            </w:r>
          </w:p>
        </w:tc>
        <w:tc>
          <w:tcPr>
            <w:tcW w:type="dxa" w:w="4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 신설로 늘어난 거래분만 인정 [S24]</w:t>
            </w:r>
          </w:p>
        </w:tc>
      </w:tr>
      <w:tr>
        <w:trPr>
          <w:cantSplit/>
        </w:trPr>
        <w:tc>
          <w:tcPr>
            <w:tcW w:type="dxa" w:w="194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재산세</w:t>
            </w:r>
          </w:p>
        </w:tc>
        <w:tc>
          <w:tcPr>
            <w:tcW w:type="dxa" w:w="37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구 50% + 특별시분 50%(25개 구 균등 배분)</w:t>
            </w:r>
          </w:p>
        </w:tc>
        <w:tc>
          <w:tcPr>
            <w:tcW w:type="dxa" w:w="4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본청 수입이 아님 [S5][S24]</w:t>
            </w:r>
          </w:p>
        </w:tc>
      </w:tr>
      <w:tr>
        <w:trPr>
          <w:cantSplit/>
        </w:trPr>
        <w:tc>
          <w:tcPr>
            <w:tcW w:type="dxa" w:w="194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지방교육세</w:t>
            </w:r>
          </w:p>
        </w:tc>
        <w:tc>
          <w:tcPr>
            <w:tcW w:type="dxa" w:w="377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서울시교육청</w:t>
            </w:r>
          </w:p>
        </w:tc>
        <w:tc>
          <w:tcPr>
            <w:tcW w:type="dxa" w:w="4032"/>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서울시·구 재정과 분리</w:t>
            </w:r>
          </w:p>
        </w:tc>
      </w:tr>
      <w:tr>
        <w:trPr>
          <w:cantSplit/>
        </w:trPr>
        <w:tc>
          <w:tcPr>
            <w:tcW w:type="dxa" w:w="194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종부세·양도세</w:t>
            </w:r>
          </w:p>
        </w:tc>
        <w:tc>
          <w:tcPr>
            <w:tcW w:type="dxa" w:w="377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국세</w:t>
            </w:r>
          </w:p>
        </w:tc>
        <w:tc>
          <w:tcPr>
            <w:tcW w:type="dxa" w:w="4032"/>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제외</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기존 주택 재고 시나리오 (연간, 억 원, 가정)</w:t>
      </w:r>
    </w:p>
    <w:tbl>
      <w:tblPr>
        <w:tblW w:w="9751" w:type="dxa"/>
        <w:jc w:val="center"/>
        <w:tblLayout w:type="fixed"/>
        <w:tblLook w:firstColumn="1" w:firstRow="1" w:lastColumn="0" w:lastRow="0" w:noHBand="0" w:noVBand="1" w:val="04A0"/>
      </w:tblPr>
      <w:tblGrid>
        <w:gridCol w:w="5704"/>
        <w:gridCol w:w="1348"/>
        <w:gridCol w:w="1348"/>
        <w:gridCol w:w="1348"/>
      </w:tblGrid>
      <w:tr>
        <w:trPr>
          <w:cantSplit/>
          <w:tblHeader/>
        </w:trPr>
        <w:tc>
          <w:tcPr>
            <w:tcW w:type="dxa" w:w="57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보수</w:t>
            </w: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중간</w:t>
            </w: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상한</w:t>
            </w:r>
          </w:p>
        </w:tc>
      </w:tr>
      <w:tr>
        <w:trPr>
          <w:cantSplit/>
        </w:trPr>
        <w:tc>
          <w:tcPr>
            <w:tcW w:type="dxa" w:w="5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(취득세)</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3.8</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5.8</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12.4</w:t>
            </w:r>
          </w:p>
        </w:tc>
      </w:tr>
      <w:tr>
        <w:trPr>
          <w:cantSplit/>
        </w:trPr>
        <w:tc>
          <w:tcPr>
            <w:tcW w:type="dxa" w:w="5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해당 구 (재산세 구분·도시지역분)</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0.6</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2.3</w:t>
            </w:r>
          </w:p>
        </w:tc>
      </w:tr>
      <w:tr>
        <w:trPr>
          <w:cantSplit/>
        </w:trPr>
        <w:tc>
          <w:tcPr>
            <w:tcW w:type="dxa" w:w="5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25개 구 균등 배분 (특별시분 재산세)</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0.4</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0.6</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1.3</w:t>
            </w:r>
          </w:p>
        </w:tc>
      </w:tr>
      <w:tr>
        <w:trPr>
          <w:cantSplit/>
        </w:trPr>
        <w:tc>
          <w:tcPr>
            <w:tcW w:type="dxa" w:w="5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교육청 (지방교육세)</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0.5</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0.8</w:t>
            </w:r>
          </w:p>
        </w:tc>
        <w:tc>
          <w:tcPr>
            <w:tcW w:type="dxa" w:w="134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1.8</w:t>
            </w:r>
          </w:p>
        </w:tc>
      </w:tr>
      <w:tr>
        <w:trPr>
          <w:cantSplit/>
        </w:trPr>
        <w:tc>
          <w:tcPr>
            <w:tcW w:type="dxa" w:w="5704"/>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b/>
                <w:color w:val="1D2A38"/>
                <w:sz w:val="17"/>
              </w:rPr>
              <w:t>합계</w:t>
            </w: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약 5</w:t>
            </w: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약 8</w:t>
            </w:r>
          </w:p>
        </w:tc>
        <w:tc>
          <w:tcPr>
            <w:tcW w:type="dxa" w:w="1348"/>
            <w:tcBorders>
              <w:top w:val="nil"/>
              <w:left w:val="nil"/>
              <w:bottom w:val="single" w:sz="10" w:space="0" w:color="9fb3c8"/>
              <w:right w:val="nil"/>
            </w:tcBorders>
            <w:shd w:val="clear" w:color="auto" w:fill="EEF3F9"/>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b/>
                <w:color w:val="1D2A38"/>
                <w:sz w:val="17"/>
              </w:rPr>
              <w:t>약 18</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 xml:space="preserve">가정: 가격 프리미엄 3%·5%·5%, 추가 거래 +0.5%p·+0.75%p·+0.75%p, 효과 반영 단지 비중 33%(골든포레·사당자이)·33%·70%(4개 단지). 취득세율 3.3%(교육세 포함), 공시가율 51%, 재산세 모의 산출. 가장 큰 항목인 취득세는 “역 개통 후 거래 증가”라는 </w:t>
      </w:r>
      <w:r>
        <w:rPr>
          <w:rFonts w:ascii="맑은 고딕" w:hAnsi="맑은 고딕" w:eastAsia="맑은 고딕" w:cs="맑은 고딕"/>
          <w:b/>
          <w:color w:val="5B6775"/>
          <w:sz w:val="17"/>
        </w:rPr>
        <w:t>미검증 가정</w:t>
      </w:r>
      <w:r>
        <w:rPr>
          <w:rFonts w:ascii="맑은 고딕" w:hAnsi="맑은 고딕" w:eastAsia="맑은 고딕" w:cs="맑은 고딕"/>
          <w:color w:val="5B6775"/>
          <w:sz w:val="17"/>
        </w:rPr>
        <w:t>에 의존하므로 검토 단계에서 유사 사례로 확인을 요청한다. 합계는 반올림.</w:t>
      </w:r>
    </w:p>
    <w:p>
      <w:pPr>
        <w:keepNext/>
        <w:autoSpaceDE w:val="0"/>
        <w:autoSpaceDN w:val="0"/>
        <w:spacing w:before="80" w:after="40"/>
        <w:jc w:val="center"/>
      </w:pPr>
      <w:r>
        <w:drawing>
          <wp:inline xmlns:a="http://schemas.openxmlformats.org/drawingml/2006/main" xmlns:pic="http://schemas.openxmlformats.org/drawingml/2006/picture">
            <wp:extent cx="6048000" cy="2661120"/>
            <wp:docPr id="12" name="Picture 12"/>
            <wp:cNvGraphicFramePr>
              <a:graphicFrameLocks noChangeAspect="1"/>
            </wp:cNvGraphicFramePr>
            <a:graphic>
              <a:graphicData uri="http://schemas.openxmlformats.org/drawingml/2006/picture">
                <pic:pic>
                  <pic:nvPicPr>
                    <pic:cNvPr id="0" name="image.png"/>
                    <pic:cNvPicPr/>
                  </pic:nvPicPr>
                  <pic:blipFill>
                    <a:blip r:embed="rId22"/>
                    <a:stretch>
                      <a:fillRect/>
                    </a:stretch>
                  </pic:blipFill>
                  <pic:spPr>
                    <a:xfrm>
                      <a:off x="0" y="0"/>
                      <a:ext cx="6048000" cy="266112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가정 시나리오. 서울시 몫은 취득세 중심, 재산세는 구 50%와 25개 구 균등 배분 50%.</w:t>
      </w:r>
    </w:p>
    <w:p>
      <w:pPr>
        <w:pStyle w:val="Heading3"/>
        <w:autoSpaceDE w:val="0"/>
        <w:autoSpaceDN w:val="0"/>
      </w:pPr>
      <w:r>
        <w:rPr>
          <w:rFonts w:ascii="맑은 고딕" w:hAnsi="맑은 고딕" w:eastAsia="맑은 고딕" w:cs="맑은 고딕"/>
          <w:b/>
          <w:color w:val="173F5F"/>
          <w:sz w:val="24"/>
        </w:rPr>
        <w:t>투자 대비 지방세 환류 (단순 비교)</w:t>
      </w:r>
    </w:p>
    <w:tbl>
      <w:tblPr>
        <w:tblW w:w="9751" w:type="dxa"/>
        <w:jc w:val="center"/>
        <w:tblLayout w:type="fixed"/>
        <w:tblLook w:firstColumn="1" w:firstRow="1" w:lastColumn="0" w:lastRow="0" w:noHBand="0" w:noVBand="1" w:val="04A0"/>
      </w:tblPr>
      <w:tblGrid>
        <w:gridCol w:w="2331"/>
        <w:gridCol w:w="2331"/>
        <w:gridCol w:w="2331"/>
        <w:gridCol w:w="1271"/>
        <w:gridCol w:w="1483"/>
      </w:tblGrid>
      <w:tr>
        <w:trPr>
          <w:cantSplit/>
          <w:tblHeader/>
        </w:trPr>
        <w:tc>
          <w:tcPr>
            <w:tcW w:type="dxa" w:w="23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건설비 예시</w:t>
            </w:r>
          </w:p>
        </w:tc>
        <w:tc>
          <w:tcPr>
            <w:tcW w:type="dxa" w:w="23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연환산 비용</w:t>
            </w:r>
          </w:p>
        </w:tc>
        <w:tc>
          <w:tcPr>
            <w:tcW w:type="dxa" w:w="23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세수 연 5억</w:t>
            </w:r>
          </w:p>
        </w:tc>
        <w:tc>
          <w:tcPr>
            <w:tcW w:type="dxa" w:w="127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8억</w:t>
            </w:r>
          </w:p>
        </w:tc>
        <w:tc>
          <w:tcPr>
            <w:tcW w:type="dxa" w:w="148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연 18억</w:t>
            </w:r>
          </w:p>
        </w:tc>
      </w:tr>
      <w:tr>
        <w:trPr>
          <w:cantSplit/>
        </w:trPr>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200억 원</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12.3억</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40년</w:t>
            </w:r>
          </w:p>
        </w:tc>
        <w:tc>
          <w:tcPr>
            <w:tcW w:type="dxa" w:w="12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25년</w:t>
            </w:r>
          </w:p>
        </w:tc>
        <w:tc>
          <w:tcPr>
            <w:tcW w:type="dxa" w:w="14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11년</w:t>
            </w:r>
          </w:p>
        </w:tc>
      </w:tr>
      <w:tr>
        <w:trPr>
          <w:cantSplit/>
        </w:trPr>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300억 원</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18.4억</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60년</w:t>
            </w:r>
          </w:p>
        </w:tc>
        <w:tc>
          <w:tcPr>
            <w:tcW w:type="dxa" w:w="12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38년</w:t>
            </w:r>
          </w:p>
        </w:tc>
        <w:tc>
          <w:tcPr>
            <w:tcW w:type="dxa" w:w="14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17년</w:t>
            </w:r>
          </w:p>
        </w:tc>
      </w:tr>
      <w:tr>
        <w:trPr>
          <w:cantSplit/>
        </w:trPr>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500억 원</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30.7억</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100년</w:t>
            </w:r>
          </w:p>
        </w:tc>
        <w:tc>
          <w:tcPr>
            <w:tcW w:type="dxa" w:w="127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63년</w:t>
            </w:r>
          </w:p>
        </w:tc>
        <w:tc>
          <w:tcPr>
            <w:tcW w:type="dxa" w:w="148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28년</w:t>
            </w:r>
          </w:p>
        </w:tc>
      </w:tr>
      <w:tr>
        <w:trPr>
          <w:cantSplit/>
        </w:trPr>
        <w:tc>
          <w:tcPr>
            <w:tcW w:type="dxa" w:w="23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700억 원</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43.0억</w:t>
            </w:r>
          </w:p>
        </w:tc>
        <w:tc>
          <w:tcPr>
            <w:tcW w:type="dxa" w:w="23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140년</w:t>
            </w:r>
          </w:p>
        </w:tc>
        <w:tc>
          <w:tcPr>
            <w:tcW w:type="dxa" w:w="127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88년</w:t>
            </w:r>
          </w:p>
        </w:tc>
        <w:tc>
          <w:tcPr>
            <w:tcW w:type="dxa" w:w="148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39년</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건설비는 공식 사업비가 아니라 서울시가 2024년 언급한 “수백억 원 이상” 범위의 예시다. 연환산은 연 4.5% [S23]·30년 가정, 회수 연수는 할인 전 단순 비교다. 세수 중 서울시 본청 몫은 약 70%(취득세 중심)라 서울시 기준 회수는 더 길어진다.</w:t>
      </w:r>
    </w:p>
    <w:p>
      <w:pPr>
        <w:keepNext/>
        <w:autoSpaceDE w:val="0"/>
        <w:autoSpaceDN w:val="0"/>
        <w:spacing w:before="80" w:after="40"/>
        <w:jc w:val="center"/>
      </w:pPr>
      <w:r>
        <w:drawing>
          <wp:inline xmlns:a="http://schemas.openxmlformats.org/drawingml/2006/main" xmlns:pic="http://schemas.openxmlformats.org/drawingml/2006/picture">
            <wp:extent cx="6048000" cy="2721600"/>
            <wp:docPr id="13" name="Picture 13"/>
            <wp:cNvGraphicFramePr>
              <a:graphicFrameLocks noChangeAspect="1"/>
            </wp:cNvGraphicFramePr>
            <a:graphic>
              <a:graphicData uri="http://schemas.openxmlformats.org/drawingml/2006/picture">
                <pic:pic>
                  <pic:nvPicPr>
                    <pic:cNvPr id="0" name="image.png"/>
                    <pic:cNvPicPr/>
                  </pic:nvPicPr>
                  <pic:blipFill>
                    <a:blip r:embed="rId23"/>
                    <a:stretch>
                      <a:fillRect/>
                    </a:stretch>
                  </pic:blipFill>
                  <pic:spPr>
                    <a:xfrm>
                      <a:off x="0" y="0"/>
                      <a:ext cx="6048000" cy="2721600"/>
                    </a:xfrm>
                    <a:prstGeom prst="rect"/>
                  </pic:spPr>
                </pic:pic>
              </a:graphicData>
            </a:graphic>
          </wp:inline>
        </w:drawing>
      </w:r>
    </w:p>
    <w:p>
      <w:pPr>
        <w:autoSpaceDE w:val="0"/>
        <w:autoSpaceDN w:val="0"/>
        <w:spacing w:after="160"/>
        <w:jc w:val="center"/>
      </w:pPr>
      <w:r>
        <w:rPr>
          <w:rFonts w:ascii="맑은 고딕" w:hAnsi="맑은 고딕" w:eastAsia="맑은 고딕" w:cs="맑은 고딕"/>
          <w:color w:val="5B6775"/>
          <w:sz w:val="16"/>
        </w:rPr>
        <w:t>건설비는 서울시 “수백억 원 이상” 범위의 예시값이며 공식 사업비가 아니다.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읽는 법</w:t>
            </w:r>
            <w:r>
              <w:br/>
            </w:r>
            <w:r>
              <w:rPr>
                <w:rFonts w:ascii="맑은 고딕" w:hAnsi="맑은 고딕" w:eastAsia="맑은 고딕" w:cs="맑은 고딕"/>
                <w:color w:val="1D2A38"/>
                <w:sz w:val="19"/>
              </w:rPr>
              <w:t xml:space="preserve">상한 18억 원·건설비 200억 원의 가장 유리한 조합에서도 단순 회수 약 11년이고, 중간 조합은 25~38년이다. 세수는 건설비를 정당화하는 근거가 아니라 </w:t>
            </w:r>
            <w:r>
              <w:rPr>
                <w:rFonts w:ascii="맑은 고딕" w:hAnsi="맑은 고딕" w:eastAsia="맑은 고딕" w:cs="맑은 고딕"/>
                <w:b/>
                <w:color w:val="1D2A38"/>
                <w:sz w:val="19"/>
              </w:rPr>
              <w:t>비용의 일부를 상쇄하는 보조 효과</w:t>
            </w:r>
            <w:r>
              <w:rPr>
                <w:rFonts w:ascii="맑은 고딕" w:hAnsi="맑은 고딕" w:eastAsia="맑은 고딕" w:cs="맑은 고딕"/>
                <w:color w:val="1D2A38"/>
                <w:sz w:val="19"/>
              </w:rPr>
              <w:t>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교통 편익 규모 (가정, 기존 승객 지체 비용 차감 전)</w:t>
      </w:r>
    </w:p>
    <w:tbl>
      <w:tblPr>
        <w:tblW w:w="9751" w:type="dxa"/>
        <w:jc w:val="center"/>
        <w:tblLayout w:type="fixed"/>
        <w:tblLook w:firstColumn="1" w:firstRow="1" w:lastColumn="0" w:lastRow="0" w:noHBand="0" w:noVBand="1" w:val="04A0"/>
      </w:tblPr>
      <w:tblGrid>
        <w:gridCol w:w="5078"/>
        <w:gridCol w:w="1557"/>
        <w:gridCol w:w="1557"/>
        <w:gridCol w:w="1557"/>
      </w:tblGrid>
      <w:tr>
        <w:trPr>
          <w:cantSplit/>
          <w:tblHeader/>
        </w:trPr>
        <w:tc>
          <w:tcPr>
            <w:tcW w:type="dxa" w:w="5078"/>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신설역 일 승하차(전환 포함)</w:t>
            </w:r>
          </w:p>
        </w:tc>
        <w:tc>
          <w:tcPr>
            <w:tcW w:type="dxa" w:w="155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4.5천</w:t>
            </w:r>
          </w:p>
        </w:tc>
        <w:tc>
          <w:tcPr>
            <w:tcW w:type="dxa" w:w="155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6.9천</w:t>
            </w:r>
          </w:p>
        </w:tc>
        <w:tc>
          <w:tcPr>
            <w:tcW w:type="dxa" w:w="155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jc w:val="right"/>
            </w:pPr>
            <w:r>
              <w:rPr>
                <w:rFonts w:ascii="맑은 고딕" w:hAnsi="맑은 고딕" w:eastAsia="맑은 고딕" w:cs="맑은 고딕"/>
                <w:b/>
                <w:color w:val="1D2A38"/>
                <w:sz w:val="17"/>
              </w:rPr>
              <w:t>8.9천</w:t>
            </w:r>
          </w:p>
        </w:tc>
      </w:tr>
      <w:tr>
        <w:trPr>
          <w:cantSplit/>
        </w:trPr>
        <w:tc>
          <w:tcPr>
            <w:tcW w:type="dxa" w:w="5078"/>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접근시간 7.3분 절감 (모형)</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연 23.1억</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연 35.5억</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jc w:val="right"/>
            </w:pPr>
            <w:r>
              <w:rPr>
                <w:rFonts w:ascii="맑은 고딕" w:hAnsi="맑은 고딕" w:eastAsia="맑은 고딕" w:cs="맑은 고딕"/>
                <w:color w:val="1D2A38"/>
                <w:sz w:val="17"/>
              </w:rPr>
              <w:t>연 45.8억</w:t>
            </w:r>
          </w:p>
        </w:tc>
      </w:tr>
      <w:tr>
        <w:trPr>
          <w:cantSplit/>
        </w:trPr>
        <w:tc>
          <w:tcPr>
            <w:tcW w:type="dxa" w:w="5078"/>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9.5분 절감 (경사 +30%)</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연 30.1억</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연 46.2억</w:t>
            </w:r>
          </w:p>
        </w:tc>
        <w:tc>
          <w:tcPr>
            <w:tcW w:type="dxa" w:w="155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jc w:val="right"/>
            </w:pPr>
            <w:r>
              <w:rPr>
                <w:rFonts w:ascii="맑은 고딕" w:hAnsi="맑은 고딕" w:eastAsia="맑은 고딕" w:cs="맑은 고딕"/>
                <w:color w:val="1D2A38"/>
                <w:sz w:val="17"/>
              </w:rPr>
              <w:t>연 59.6억</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산식: 일 승하차 × 절감 분 ÷ 60 × 365 × 시간가치. 시간가치 약 1.16만 원/시간은 서부선 검토 사례 수치를 가정한 것으로 공식 값 확인이 필요하다. 운임 순증·버스 운행비 절감은 제외했고, 7절의 기존 승객 지체(연 약 68~152만 승객-시간, 같은 시간가치로 연 약 79~176억 원)를 차감해야 순편익이 되며, 현재 추정 범위에서는 순편익이 불리한 경우가 대부분이다.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color w:val="1D2A38"/>
                <w:sz w:val="19"/>
              </w:rPr>
              <w:t>접근시간 편익이 세수보다 큰 축이므로 사업 판단은 B/C로, 세수는 보조 지표로 쓴다. 이 편익이 지체 비용과 공사비를 넘는지가 공식 검토의 핵심이다.</w:t>
            </w:r>
          </w:p>
        </w:tc>
      </w:tr>
    </w:tbl>
    <w:p>
      <w:pPr>
        <w:autoSpaceDE w:val="0"/>
        <w:autoSpaceDN w:val="0"/>
        <w:spacing w:after="60" w:line="168" w:lineRule="auto"/>
      </w:pPr>
    </w:p>
    <w:p>
      <w:pPr>
        <w:pStyle w:val="Heading3"/>
        <w:autoSpaceDE w:val="0"/>
        <w:autoSpaceDN w:val="0"/>
      </w:pPr>
      <w:r>
        <w:rPr>
          <w:rFonts w:ascii="맑은 고딕" w:hAnsi="맑은 고딕" w:eastAsia="맑은 고딕" w:cs="맑은 고딕"/>
          <w:b/>
          <w:color w:val="173F5F"/>
          <w:sz w:val="24"/>
        </w:rPr>
        <w:t>재원 조달 옵션 (검토 요청, 법적 가능 여부 미확정)</w:t>
      </w:r>
    </w:p>
    <w:tbl>
      <w:tblPr>
        <w:tblW w:w="9751" w:type="dxa"/>
        <w:jc w:val="center"/>
        <w:tblLayout w:type="fixed"/>
        <w:tblLook w:firstColumn="1" w:firstRow="1" w:lastColumn="0" w:lastRow="0" w:noHBand="0" w:noVBand="1" w:val="04A0"/>
      </w:tblPr>
      <w:tblGrid>
        <w:gridCol w:w="2090"/>
        <w:gridCol w:w="4807"/>
        <w:gridCol w:w="2853"/>
      </w:tblGrid>
      <w:tr>
        <w:trPr>
          <w:cantSplit/>
          <w:tblHeader/>
        </w:trPr>
        <w:tc>
          <w:tcPr>
            <w:tcW w:type="dxa" w:w="209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옵션</w:t>
            </w:r>
          </w:p>
        </w:tc>
        <w:tc>
          <w:tcPr>
            <w:tcW w:type="dxa" w:w="4807"/>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내용</w:t>
            </w:r>
          </w:p>
        </w:tc>
        <w:tc>
          <w:tcPr>
            <w:tcW w:type="dxa" w:w="2853"/>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확인할 것</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도시철도 재원</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3차망 변경·4차 계획 반영 시 사업 편입</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기존선 정거장 추가가 대상인지</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자치구 분담</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동작구·관악구 협의</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분담 근거와 규모</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원인자 부담형</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제안 주체가 설계·공사비를 부담하는 청학역 방식 [S16]</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서울시 적용 가능 여부와 부담 주체</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수익자 분담형</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 주변 부동산·개발사가 일부를 부담하는 방식(워싱턴 NoMa역 특별부과 24%, 보스턴 Assembly역 개발사 약 26%) [S34][S36]</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국내 제도상 가능한 수단과 법적 근거</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정비사업 연계</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모아타운 등 공공기여·용적률 인센티브 연계</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제도상 가능 여부</w:t>
            </w:r>
          </w:p>
        </w:tc>
      </w:tr>
      <w:tr>
        <w:trPr>
          <w:cantSplit/>
        </w:trPr>
        <w:tc>
          <w:tcPr>
            <w:tcW w:type="dxa" w:w="209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국비</w:t>
            </w:r>
          </w:p>
        </w:tc>
        <w:tc>
          <w:tcPr>
            <w:tcW w:type="dxa" w:w="4807"/>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도시철도망 계획 반영 시 국비 지원 가능성</w:t>
            </w:r>
          </w:p>
        </w:tc>
        <w:tc>
          <w:tcPr>
            <w:tcW w:type="dxa" w:w="2853"/>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지원 기준</w:t>
            </w:r>
          </w:p>
        </w:tc>
      </w:tr>
    </w:tbl>
    <w:p>
      <w:pPr>
        <w:autoSpaceDE w:val="0"/>
        <w:autoSpaceDN w:val="0"/>
        <w:spacing w:after="40" w:line="144" w:lineRule="auto"/>
      </w:pPr>
    </w:p>
    <w:p>
      <w:pPr>
        <w:pStyle w:val="Heading3"/>
        <w:autoSpaceDE w:val="0"/>
        <w:autoSpaceDN w:val="0"/>
      </w:pPr>
      <w:r>
        <w:rPr>
          <w:rFonts w:ascii="맑은 고딕" w:hAnsi="맑은 고딕" w:eastAsia="맑은 고딕" w:cs="맑은 고딕"/>
          <w:b/>
          <w:color w:val="173F5F"/>
          <w:sz w:val="24"/>
        </w:rPr>
        <w:t>재정·지역경제 효과 측정 지표</w:t>
      </w:r>
    </w:p>
    <w:tbl>
      <w:tblPr>
        <w:tblW w:w="9751" w:type="dxa"/>
        <w:jc w:val="center"/>
        <w:tblLayout w:type="fixed"/>
        <w:tblLook w:firstColumn="1" w:firstRow="1" w:lastColumn="0" w:lastRow="0" w:noHBand="0" w:noVBand="1" w:val="04A0"/>
      </w:tblPr>
      <w:tblGrid>
        <w:gridCol w:w="1931"/>
        <w:gridCol w:w="5115"/>
        <w:gridCol w:w="2704"/>
      </w:tblGrid>
      <w:tr>
        <w:trPr>
          <w:cantSplit/>
          <w:tblHeader/>
        </w:trPr>
        <w:tc>
          <w:tcPr>
            <w:tcW w:type="dxa" w:w="19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지표</w:t>
            </w:r>
          </w:p>
        </w:tc>
        <w:tc>
          <w:tcPr>
            <w:tcW w:type="dxa" w:w="511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산식·측정</w:t>
            </w:r>
          </w:p>
        </w:tc>
        <w:tc>
          <w:tcPr>
            <w:tcW w:type="dxa" w:w="270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역할</w:t>
            </w:r>
          </w:p>
        </w:tc>
      </w:tr>
      <w:tr>
        <w:trPr>
          <w:cantSplit/>
        </w:trPr>
        <w:tc>
          <w:tcPr>
            <w:tcW w:type="dxa" w:w="1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주택 거래회전율</w:t>
            </w:r>
          </w:p>
        </w:tc>
        <w:tc>
          <w:tcPr>
            <w:tcW w:type="dxa" w:w="5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연간 거래건수 ÷ 세대수 (최근 3년 평균을 기준선으로)</w:t>
            </w:r>
          </w:p>
        </w:tc>
        <w:tc>
          <w:tcPr>
            <w:tcW w:type="dxa" w:w="2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개통 후 변화량 측정</w:t>
            </w:r>
          </w:p>
        </w:tc>
      </w:tr>
      <w:tr>
        <w:trPr>
          <w:cantSplit/>
        </w:trPr>
        <w:tc>
          <w:tcPr>
            <w:tcW w:type="dxa" w:w="1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거래액 파급</w:t>
            </w:r>
          </w:p>
        </w:tc>
        <w:tc>
          <w:tcPr>
            <w:tcW w:type="dxa" w:w="5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순증 거래건수 × 평균 거래가액</w:t>
            </w:r>
          </w:p>
        </w:tc>
        <w:tc>
          <w:tcPr>
            <w:tcW w:type="dxa" w:w="2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취득세 민감도의 기초</w:t>
            </w:r>
          </w:p>
        </w:tc>
      </w:tr>
      <w:tr>
        <w:trPr>
          <w:cantSplit/>
        </w:trPr>
        <w:tc>
          <w:tcPr>
            <w:tcW w:type="dxa" w:w="1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공시가격 순증</w:t>
            </w:r>
          </w:p>
        </w:tc>
        <w:tc>
          <w:tcPr>
            <w:tcW w:type="dxa" w:w="5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역 신설 전후 공시가격 변화</w:t>
            </w:r>
          </w:p>
        </w:tc>
        <w:tc>
          <w:tcPr>
            <w:tcW w:type="dxa" w:w="2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재산세 과세기반 검증</w:t>
            </w:r>
          </w:p>
        </w:tc>
      </w:tr>
      <w:tr>
        <w:trPr>
          <w:cantSplit/>
        </w:trPr>
        <w:tc>
          <w:tcPr>
            <w:tcW w:type="dxa" w:w="1931"/>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상권 매출</w:t>
            </w:r>
          </w:p>
        </w:tc>
        <w:tc>
          <w:tcPr>
            <w:tcW w:type="dxa" w:w="5115"/>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카드매출·사업체 변화를 유사 생활권과 비교</w:t>
            </w:r>
          </w:p>
        </w:tc>
        <w:tc>
          <w:tcPr>
            <w:tcW w:type="dxa" w:w="270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지역경제 간접효과</w:t>
            </w:r>
          </w:p>
        </w:tc>
      </w:tr>
      <w:tr>
        <w:trPr>
          <w:cantSplit/>
        </w:trPr>
        <w:tc>
          <w:tcPr>
            <w:tcW w:type="dxa" w:w="19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생활인구</w:t>
            </w:r>
          </w:p>
        </w:tc>
        <w:tc>
          <w:tcPr>
            <w:tcW w:type="dxa" w:w="511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250m 격자 시간대별 생활인구</w:t>
            </w:r>
          </w:p>
        </w:tc>
        <w:tc>
          <w:tcPr>
            <w:tcW w:type="dxa" w:w="270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수요·상권의 공간 검증</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거래가 단순히 앞당겨진 경우는 순증으로 보지 않는다. 세수는 B/C 편익에 합산하지 않고 보조 지표로만 쓴다.</w:t>
      </w: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E0662B"/>
              <w:bottom w:val="nil"/>
              <w:right w:val="nil"/>
            </w:tcBorders>
            <w:shd w:val="clear" w:color="auto" w:fill="FFF6EE"/>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현실적으로 읽는 법</w:t>
            </w:r>
            <w:r>
              <w:br/>
            </w:r>
            <w:r>
              <w:rPr>
                <w:rFonts w:ascii="맑은 고딕" w:hAnsi="맑은 고딕" w:eastAsia="맑은 고딕" w:cs="맑은 고딕"/>
                <w:color w:val="1D2A38"/>
                <w:sz w:val="19"/>
              </w:rPr>
              <w:t xml:space="preserve">• 세수는 연 5~18억 원으로, 서울시가 언급한 “수백억 원 이상” 건설비를 보전하지 못한다. </w:t>
            </w:r>
            <w:r>
              <w:rPr>
                <w:rFonts w:ascii="맑은 고딕" w:hAnsi="맑은 고딕" w:eastAsia="맑은 고딕" w:cs="맑은 고딕"/>
                <w:b/>
                <w:color w:val="1D2A38"/>
                <w:sz w:val="19"/>
              </w:rPr>
              <w:t>회수 근거로 주장하지 않는다.</w:t>
            </w:r>
            <w:r>
              <w:rPr>
                <w:rFonts w:ascii="맑은 고딕" w:hAnsi="맑은 고딕" w:eastAsia="맑은 고딕" w:cs="맑은 고딕"/>
                <w:color w:val="1D2A38"/>
                <w:sz w:val="19"/>
              </w:rPr>
              <w:t xml:space="preserve"> 20년 단순 누적 100~360억 원은 할인 전 값이다. 위 환류표와 교통 편익 표를 함께 본다.</w:t>
            </w:r>
            <w:r>
              <w:br/>
            </w:r>
            <w:r>
              <w:rPr>
                <w:rFonts w:ascii="맑은 고딕" w:hAnsi="맑은 고딕" w:eastAsia="맑은 고딕" w:cs="맑은 고딕"/>
                <w:color w:val="1D2A38"/>
                <w:sz w:val="19"/>
              </w:rPr>
              <w:t xml:space="preserve">• 그래서 서울시·동작구·관악구 분담과 정비사업 연계 공공기여 가능성 등 </w:t>
            </w:r>
            <w:r>
              <w:rPr>
                <w:rFonts w:ascii="맑은 고딕" w:hAnsi="맑은 고딕" w:eastAsia="맑은 고딕" w:cs="맑은 고딕"/>
                <w:b/>
                <w:color w:val="1D2A38"/>
                <w:sz w:val="19"/>
              </w:rPr>
              <w:t>재원 분담 협의</w:t>
            </w:r>
            <w:r>
              <w:rPr>
                <w:rFonts w:ascii="맑은 고딕" w:hAnsi="맑은 고딕" w:eastAsia="맑은 고딕" w:cs="맑은 고딕"/>
                <w:color w:val="1D2A38"/>
                <w:sz w:val="19"/>
              </w:rPr>
              <w:t>를 함께 검토해 달라고 요청한다.</w:t>
            </w:r>
            <w:r>
              <w:br/>
            </w:r>
            <w:r>
              <w:rPr>
                <w:rFonts w:ascii="맑은 고딕" w:hAnsi="맑은 고딕" w:eastAsia="맑은 고딕" w:cs="맑은 고딕"/>
                <w:color w:val="1D2A38"/>
                <w:sz w:val="19"/>
              </w:rPr>
              <w:t xml:space="preserve">• 정비사업 순증의 일회성 취득 관련 세수(세대당 평균 취득가액 9~13억 원 가정)는 위치가 확인된 사당동 820세대 약 221~320억 원, 성현동까지 합친 1,444세대 약 390~563억 원(서울시 취득세 3% 기준, 교육세 0.3%는 교육청 귀속으로 별도)이다. 사업 자체의 잠재력이며 </w:t>
            </w:r>
            <w:r>
              <w:rPr>
                <w:rFonts w:ascii="맑은 고딕" w:hAnsi="맑은 고딕" w:eastAsia="맑은 고딕" w:cs="맑은 고딕"/>
                <w:b/>
                <w:color w:val="1D2A38"/>
                <w:sz w:val="19"/>
              </w:rPr>
              <w:t>역 신설 귀속분이 아니다.</w:t>
            </w:r>
            <w:r>
              <w:rPr>
                <w:rFonts w:ascii="맑은 고딕" w:hAnsi="맑은 고딕" w:eastAsia="맑은 고딕" w:cs="맑은 고딕"/>
                <w:color w:val="1D2A38"/>
                <w:sz w:val="19"/>
              </w:rPr>
              <w:t xml:space="preserve"> 역 신설이 사업 규모·속도에 주는 영향은 검토 대상이다.</w:t>
            </w:r>
            <w:r>
              <w:br/>
            </w:r>
            <w:r>
              <w:rPr>
                <w:rFonts w:ascii="맑은 고딕" w:hAnsi="맑은 고딕" w:eastAsia="맑은 고딕" w:cs="맑은 고딕"/>
                <w:color w:val="1D2A38"/>
                <w:sz w:val="19"/>
              </w:rPr>
              <w:t>• 상권 효과는 지방소득세가 매출 100억 원당 약 0.04~0.2억 원으로 작아 세수가 아닌 지역경제 효과로 서술한다.</w:t>
            </w:r>
            <w:r>
              <w:br/>
            </w:r>
            <w:r>
              <w:rPr>
                <w:rFonts w:ascii="맑은 고딕" w:hAnsi="맑은 고딕" w:eastAsia="맑은 고딕" w:cs="맑은 고딕"/>
                <w:color w:val="1D2A38"/>
                <w:sz w:val="19"/>
              </w:rPr>
              <w:t>• 경제성(B/C)은 교통 편익·비용·기존 열차 지체로 따로 산정하며 세수를 편익에 넣지 않는다.</w:t>
            </w:r>
          </w:p>
        </w:tc>
      </w:tr>
    </w:tbl>
    <w:p>
      <w:pPr>
        <w:autoSpaceDE w:val="0"/>
        <w:autoSpaceDN w:val="0"/>
        <w:spacing w:after="6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12. 예상 반론과 대응</w:t>
      </w:r>
    </w:p>
    <w:tbl>
      <w:tblPr>
        <w:tblW w:w="9751" w:type="dxa"/>
        <w:jc w:val="center"/>
        <w:tblLayout w:type="fixed"/>
        <w:tblLook w:firstColumn="1" w:firstRow="1" w:lastColumn="0" w:lastRow="0" w:noHBand="0" w:noVBand="1" w:val="04A0"/>
      </w:tblPr>
      <w:tblGrid>
        <w:gridCol w:w="3154"/>
        <w:gridCol w:w="6596"/>
      </w:tblGrid>
      <w:tr>
        <w:trPr>
          <w:cantSplit/>
          <w:tblHeader/>
        </w:trPr>
        <w:tc>
          <w:tcPr>
            <w:tcW w:type="dxa" w:w="315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예상 반론</w:t>
            </w:r>
          </w:p>
        </w:tc>
        <w:tc>
          <w:tcPr>
            <w:tcW w:type="dxa" w:w="659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keepNext/>
              <w:autoSpaceDE w:val="0"/>
              <w:autoSpaceDN w:val="0"/>
              <w:spacing w:after="0" w:line="283" w:lineRule="auto"/>
            </w:pPr>
            <w:r>
              <w:rPr>
                <w:rFonts w:ascii="맑은 고딕" w:hAnsi="맑은 고딕" w:eastAsia="맑은 고딕" w:cs="맑은 고딕"/>
                <w:b/>
                <w:color w:val="1D2A38"/>
                <w:sz w:val="17"/>
              </w:rPr>
              <w:t>제안서의 대응</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기존역이 가깝다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인정한다. 실제 보행시간·경사·생활권별 접근성 격차를 검증한다.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공사비가 크다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인정한다. 착공이 아니라 독립 기술·경제성 검토를 요청하고 저·중·고 시나리오로 본다.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열차가 느려진다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핵심 쟁점으로 인정한다. 스크리닝에서 연 비용의 77~88%를 차지하므로 비용에 반영하고, 정차시간 단축 설계(36초)와 실측 단면 수송량으로 재계산해 달라고 요청한다.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세대수를 부풀렸다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핵심 5,073세대와 중복권 4,289세대를 분리하고 중복권은 순증에서 제외한다.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개발 때문에 수요를 만든다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이미 계획된 정비사업 순증만 외생 변수로 반영하며 역 귀속분으로 주장하지 않는다.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기술적으로 어렵다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2024년 서울시는 운행 중 노선의 굴착이 어렵고 지하역은 현재 기술로 거의 불가능해 보인다는 취지로 답했다 [S1]. 이 판단의 근거(선형·심도·지질·공법)를 공개해 달라고 요청하고, 7-21공구 시공 기록과 운행 중인 지하철 노선에 정거장을 추가한 선례(도쿄메트로 도라노몬힐스역 등, 10절)를 공법 검토의 참고로 제시한다.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위치가 왜 거기인가</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두 역의 정중앙이자 구간 안에서 접근성이 가장 낮은 지점이다(3절). 최종 위치는 선로·구조 검토로 조정하며, 위치 민감도(±100m에서 수요 약 ±21%)를 공개한다.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학교·공원 인접 시공 민원</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keepNext/>
              <w:autoSpaceDE w:val="0"/>
              <w:autoSpaceDN w:val="0"/>
              <w:spacing w:after="0" w:line="283" w:lineRule="auto"/>
            </w:pPr>
            <w:r>
              <w:rPr>
                <w:rFonts w:ascii="맑은 고딕" w:hAnsi="맑은 고딕" w:eastAsia="맑은 고딕" w:cs="맑은 고딕"/>
                <w:color w:val="1D2A38"/>
                <w:sz w:val="17"/>
              </w:rPr>
              <w:t>학교·공원은 위치를 정한 이유가 아니라 출입구·환기구 부지 후보다. 도로·민간 부지 대안까지 포함해 검토하고 안전·소음·진동 영향 검토를 요청한다.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다른 지역도 요구한다</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역간거리·보행시간·경사·세대수·미래 공급·기술성 기준을 공개하고 같은 기준으로 심사받는다.</w:t>
            </w:r>
          </w:p>
        </w:tc>
      </w:tr>
    </w:tbl>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13. 서울시에 요청하는 검토과제</w:t>
      </w:r>
    </w:p>
    <w:tbl>
      <w:tblPr>
        <w:tblW w:w="9751" w:type="dxa"/>
        <w:jc w:val="center"/>
        <w:tblLayout w:type="fixed"/>
        <w:tblLook w:firstColumn="1" w:firstRow="1" w:lastColumn="0" w:lastRow="0" w:noHBand="0" w:noVBand="1" w:val="04A0"/>
      </w:tblPr>
      <w:tblGrid>
        <w:gridCol w:w="850"/>
        <w:gridCol w:w="6031"/>
        <w:gridCol w:w="2869"/>
      </w:tblGrid>
      <w:tr>
        <w:trPr>
          <w:cantSplit/>
          <w:tblHeader/>
        </w:trPr>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순서</w:t>
            </w:r>
          </w:p>
        </w:tc>
        <w:tc>
          <w:tcPr>
            <w:tcW w:type="dxa" w:w="6031"/>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요청</w:t>
            </w:r>
          </w:p>
        </w:tc>
        <w:tc>
          <w:tcPr>
            <w:tcW w:type="dxa" w:w="2869"/>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결과물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선로 중심선·심도·구배·곡선·구조물, 제안 위치(사거리)와의 수평 편차</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설치 가능 구간(수평 범위)</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구간 단면 수송량·운행횟수·정차시간</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승객 지체 모델</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위치 250m 생활인구(500m·800m)</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수요 기초표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출입구 후보별 실제 도보경로·고도차</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접근시간 개선표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버스 노선·정류장 승하차</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전환 수요</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6</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기존선 중간 신설역 사례와 비용 분담 방식</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사업비·재원 시나리오</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7</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과거 제안 회신의 검토 근거와 신설역 검토 기준</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기준 투명화</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8</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전환+순증 수요 예측, 손익분기 수요</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신규역 승하차</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9</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지방세·지역경제 효과 (귀속 구분)</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보조 재정효과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10</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도시철도망 계획 대상 여부와 절차</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제출·반영 경로</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11</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사전 타당성조사 추진(청학역 사례처럼 자체 조사 후 상위 검증)</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공식 B/C·재원 협의 근거</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12</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영향권 주택의 최근 3년 거래회전율 기준선과 역 신설 후 변화 시나리오</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취득세 민감도 기초</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13</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취득세·재산세·상권 지표의 순증효과를 기존 추세와 분리해 검토</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보조 재정효과</w:t>
            </w:r>
          </w:p>
        </w:tc>
      </w:tr>
      <w:tr>
        <w:trPr>
          <w:cantSplit/>
        </w:trPr>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14</w:t>
            </w:r>
          </w:p>
        </w:tc>
        <w:tc>
          <w:tcPr>
            <w:tcW w:type="dxa" w:w="6031"/>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사당로 미확장 구간 확장 타당성 검토(서울시 도로계획과, 2024)의 결과와 연계 가능성</w:t>
            </w:r>
          </w:p>
        </w:tc>
        <w:tc>
          <w:tcPr>
            <w:tcW w:type="dxa" w:w="2869"/>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출입구·지장물·재원 연계 [S22]</w:t>
            </w:r>
          </w:p>
        </w:tc>
      </w:tr>
    </w:tbl>
    <w:p>
      <w:pPr>
        <w:autoSpaceDE w:val="0"/>
        <w:autoSpaceDN w:val="0"/>
        <w:spacing w:after="40" w:line="144" w:lineRule="auto"/>
      </w:pPr>
    </w:p>
    <w:tbl>
      <w:tblPr>
        <w:tblW w:w="9751" w:type="dxa"/>
        <w:jc w:val="center"/>
        <w:tblLayout w:type="fixed"/>
        <w:tblLook w:firstColumn="1" w:firstRow="1" w:lastColumn="0" w:lastRow="0" w:noHBand="0" w:noVBand="1" w:val="04A0"/>
      </w:tblPr>
      <w:tblGrid>
        <w:gridCol w:w="9751"/>
      </w:tblGrid>
      <w:tr>
        <w:trPr/>
        <w:tc>
          <w:tcPr>
            <w:tcW w:type="dxa" w:w="9751"/>
            <w:tcBorders>
              <w:top w:val="nil"/>
              <w:left w:val="single" w:sz="36" w:space="0" w:color="2A78D6"/>
              <w:bottom w:val="nil"/>
              <w:right w:val="nil"/>
            </w:tcBorders>
            <w:shd w:val="clear" w:color="auto" w:fill="F1F6FC"/>
            <w:tcMar>
              <w:top w:w="110" w:type="dxa"/>
              <w:left w:w="200" w:type="dxa"/>
              <w:bottom w:w="90" w:type="dxa"/>
              <w:right w:w="160" w:type="dxa"/>
            </w:tcMar>
          </w:tcPr>
          <w:p>
            <w:pPr>
              <w:autoSpaceDE w:val="0"/>
              <w:autoSpaceDN w:val="0"/>
              <w:spacing w:after="0"/>
            </w:pPr>
            <w:r>
              <w:rPr>
                <w:rFonts w:ascii="맑은 고딕" w:hAnsi="맑은 고딕" w:eastAsia="맑은 고딕" w:cs="맑은 고딕"/>
                <w:b/>
                <w:color w:val="1D2A38"/>
                <w:sz w:val="19"/>
              </w:rPr>
              <w:t>최종 요청문</w:t>
            </w:r>
            <w:r>
              <w:br/>
            </w:r>
            <w:r>
              <w:rPr>
                <w:rFonts w:ascii="맑은 고딕" w:hAnsi="맑은 고딕" w:eastAsia="맑은 고딕" w:cs="맑은 고딕"/>
                <w:color w:val="1D2A38"/>
                <w:sz w:val="19"/>
              </w:rPr>
              <w:t>“서울 지하철 7호선 남성역과 숭실대입구역 사이(소공원2와 상도중학교 사이 사거리 일대) 중간역 신설과 관련하여, 해당 생활권의 실제 보행 접근성, 현재 및 미래 수요, 선로·심도·구배 등 기술적 설치 가능성, 공사비·운영비, 기존 열차 이용객의 시간손실 및 지방재정·지역경제 파급효과를 종합적으로 검토할 수 있도록 공식 타당성 및 기술검토를 실시하여 주시기 바랍니다.”</w:t>
            </w:r>
          </w:p>
        </w:tc>
      </w:tr>
    </w:tbl>
    <w:p>
      <w:pPr>
        <w:autoSpaceDE w:val="0"/>
        <w:autoSpaceDN w:val="0"/>
        <w:spacing w:after="60" w:line="168" w:lineRule="auto"/>
      </w:pPr>
    </w:p>
    <w:tbl>
      <w:tblPr>
        <w:tblW w:w="9342" w:type="dxa"/>
        <w:jc w:val="center"/>
        <w:tblLayout w:type="fixed"/>
        <w:tblLook w:firstColumn="1" w:firstRow="1" w:lastColumn="0" w:lastRow="0" w:noHBand="0" w:noVBand="1" w:val="04A0"/>
      </w:tblPr>
      <w:tblGrid>
        <w:gridCol w:w="1868"/>
        <w:gridCol w:w="1868"/>
        <w:gridCol w:w="1868"/>
        <w:gridCol w:w="1868"/>
        <w:gridCol w:w="1868"/>
      </w:tblGrid>
      <w:tr>
        <w:trPr>
          <w:cantSplit/>
        </w:trPr>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1단계</w:t>
            </w:r>
          </w:p>
          <w:p>
            <w:pPr>
              <w:autoSpaceDE w:val="0"/>
              <w:autoSpaceDN w:val="0"/>
              <w:spacing w:after="0"/>
            </w:pPr>
            <w:r>
              <w:rPr>
                <w:rFonts w:ascii="맑은 고딕" w:hAnsi="맑은 고딕" w:eastAsia="맑은 고딕" w:cs="맑은 고딕"/>
                <w:color w:val="5B6775"/>
                <w:sz w:val="16"/>
              </w:rPr>
              <w:t>자료 확인과 위치 검토</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2단계</w:t>
            </w:r>
          </w:p>
          <w:p>
            <w:pPr>
              <w:autoSpaceDE w:val="0"/>
              <w:autoSpaceDN w:val="0"/>
              <w:spacing w:after="0"/>
            </w:pPr>
            <w:r>
              <w:rPr>
                <w:rFonts w:ascii="맑은 고딕" w:hAnsi="맑은 고딕" w:eastAsia="맑은 고딕" w:cs="맑은 고딕"/>
                <w:color w:val="5B6775"/>
                <w:sz w:val="16"/>
              </w:rPr>
              <w:t>수요·보행·버스 분석</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3단계</w:t>
            </w:r>
          </w:p>
          <w:p>
            <w:pPr>
              <w:autoSpaceDE w:val="0"/>
              <w:autoSpaceDN w:val="0"/>
              <w:spacing w:after="0"/>
            </w:pPr>
            <w:r>
              <w:rPr>
                <w:rFonts w:ascii="맑은 고딕" w:hAnsi="맑은 고딕" w:eastAsia="맑은 고딕" w:cs="맑은 고딕"/>
                <w:color w:val="5B6775"/>
                <w:sz w:val="16"/>
              </w:rPr>
              <w:t>선로·구조·역사 기술검토</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4단계</w:t>
            </w:r>
          </w:p>
          <w:p>
            <w:pPr>
              <w:autoSpaceDE w:val="0"/>
              <w:autoSpaceDN w:val="0"/>
              <w:spacing w:after="0"/>
            </w:pPr>
            <w:r>
              <w:rPr>
                <w:rFonts w:ascii="맑은 고딕" w:hAnsi="맑은 고딕" w:eastAsia="맑은 고딕" w:cs="맑은 고딕"/>
                <w:color w:val="5B6775"/>
                <w:sz w:val="16"/>
              </w:rPr>
              <w:t>사업비·지체 포함 B/C</w:t>
            </w:r>
          </w:p>
        </w:tc>
        <w:tc>
          <w:tcPr>
            <w:tcW w:type="dxa" w:w="1868"/>
            <w:tcBorders>
              <w:top w:val="nil"/>
              <w:left w:val="single" w:sz="24" w:space="0" w:color="FFFFFF"/>
              <w:bottom w:val="nil"/>
              <w:right w:val="single" w:sz="24" w:space="0" w:color="FFFFFF"/>
            </w:tcBorders>
            <w:shd w:val="clear" w:color="auto" w:fill="F1F6FC"/>
            <w:tcMar>
              <w:top w:w="100" w:type="dxa"/>
              <w:left w:w="130" w:type="dxa"/>
              <w:bottom w:w="100" w:type="dxa"/>
              <w:right w:w="110" w:type="dxa"/>
            </w:tcMar>
          </w:tcPr>
          <w:p>
            <w:pPr>
              <w:autoSpaceDE w:val="0"/>
              <w:autoSpaceDN w:val="0"/>
              <w:spacing w:after="40"/>
            </w:pPr>
            <w:r>
              <w:rPr>
                <w:rFonts w:ascii="맑은 고딕" w:hAnsi="맑은 고딕" w:eastAsia="맑은 고딕" w:cs="맑은 고딕"/>
                <w:b/>
                <w:color w:val="173F5F"/>
                <w:sz w:val="19"/>
              </w:rPr>
              <w:t>5단계</w:t>
            </w:r>
          </w:p>
          <w:p>
            <w:pPr>
              <w:autoSpaceDE w:val="0"/>
              <w:autoSpaceDN w:val="0"/>
              <w:spacing w:after="0"/>
            </w:pPr>
            <w:r>
              <w:rPr>
                <w:rFonts w:ascii="맑은 고딕" w:hAnsi="맑은 고딕" w:eastAsia="맑은 고딕" w:cs="맑은 고딕"/>
                <w:color w:val="5B6775"/>
                <w:sz w:val="16"/>
              </w:rPr>
              <w:t>추진 여부 판단</w:t>
            </w:r>
          </w:p>
        </w:tc>
      </w:tr>
    </w:tbl>
    <w:p>
      <w:pPr>
        <w:autoSpaceDE w:val="0"/>
        <w:autoSpaceDN w:val="0"/>
        <w:spacing w:after="80" w:line="168"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14. 데이터 현황과 신뢰도</w:t>
      </w:r>
    </w:p>
    <w:tbl>
      <w:tblPr>
        <w:tblW w:w="9751" w:type="dxa"/>
        <w:jc w:val="center"/>
        <w:tblLayout w:type="fixed"/>
        <w:tblLook w:firstColumn="1" w:firstRow="1" w:lastColumn="0" w:lastRow="0" w:noHBand="0" w:noVBand="1" w:val="04A0"/>
      </w:tblPr>
      <w:tblGrid>
        <w:gridCol w:w="3634"/>
        <w:gridCol w:w="5265"/>
        <w:gridCol w:w="850"/>
      </w:tblGrid>
      <w:tr>
        <w:trPr>
          <w:cantSplit/>
          <w:tblHeader/>
        </w:trPr>
        <w:tc>
          <w:tcPr>
            <w:tcW w:type="dxa" w:w="363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항목</w:t>
            </w:r>
          </w:p>
        </w:tc>
        <w:tc>
          <w:tcPr>
            <w:tcW w:type="dxa" w:w="5265"/>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값·상태</w:t>
            </w:r>
          </w:p>
        </w:tc>
        <w:tc>
          <w:tcPr>
            <w:tcW w:type="dxa" w:w="850"/>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신뢰도</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역간 직선거리</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약 1.94~2.0km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핵심 단지</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5,073세대 (관악현대 2,134 = 동작구 405 + 관악구 1,729)</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중복권 단지</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4,289세대</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인접 7호선 3역 이용</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일 2.1~2.7만, 원자료 대조 필요</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정비사업 순증</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사당동 +820 (확인), 성현동 +624 (위치 확인 필요)</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위치 좌표</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북위 37.490°·동경 126.9625° 부근(지도 캡처 보정, 오차 ±30~50m). 남성역 0.95km·숭실대입구역 0.99km(49:51)</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제안 위치 가중 직선거리 개선</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+327m (선로 방향 ±100m 조정 시 +255m~+384m)</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신설역 수요 추정</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4.5천~8.9천(기준 6.9천), 4개 단지 기준 스크리닝</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C(가정)</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기존 승객 시간손실</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단면 15~25만(평균 단면 산식), 지연 45~60초로 추정(공개 총량 기반), 공식 값으로 대체 요청</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B(추정)</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경제성 스크리닝 B/C</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0.12~0.58(건설비 300억 원 가정, 기준 0.7 미달). 0.7 도달 조건은 낙관 수요·단면 12만·정차 36초 (공식 값 아님)</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C(가정)</w:t>
            </w:r>
          </w:p>
        </w:tc>
      </w:tr>
      <w:tr>
        <w:trPr>
          <w:cantSplit/>
        </w:trPr>
        <w:tc>
          <w:tcPr>
            <w:tcW w:type="dxa" w:w="363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250m 생활인구, 선로 심도·구배, 총사업비, 공식 B/C</w:t>
            </w:r>
          </w:p>
        </w:tc>
        <w:tc>
          <w:tcPr>
            <w:tcW w:type="dxa" w:w="5265"/>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미확정</w:t>
            </w:r>
          </w:p>
        </w:tc>
        <w:tc>
          <w:tcPr>
            <w:tcW w:type="dxa" w:w="850"/>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C</w:t>
            </w:r>
          </w:p>
        </w:tc>
      </w:tr>
    </w:tbl>
    <w:p>
      <w:pPr>
        <w:autoSpaceDE w:val="0"/>
        <w:autoSpaceDN w:val="0"/>
        <w:spacing w:after="40" w:line="144" w:lineRule="auto"/>
      </w:pPr>
    </w:p>
    <w:p>
      <w:pPr>
        <w:autoSpaceDE w:val="0"/>
        <w:autoSpaceDN w:val="0"/>
        <w:spacing w:after="120"/>
      </w:pPr>
      <w:r>
        <w:rPr>
          <w:rFonts w:ascii="맑은 고딕" w:hAnsi="맑은 고딕" w:eastAsia="맑은 고딕" w:cs="맑은 고딕"/>
          <w:color w:val="5B6775"/>
          <w:sz w:val="17"/>
        </w:rPr>
        <w:t>신뢰도 A: 공식·공개 원자료, B: 2차 출처 교차확인 또는 직선거리 계산, C: 미확보·가정.</w:t>
      </w:r>
    </w:p>
    <w:p>
      <w:pPr>
        <w:pStyle w:val="Heading2"/>
        <w:pBdr>
          <w:bottom w:val="single" w:sz="8" w:space="3" w:color="c9d3de"/>
        </w:pBdr>
        <w:autoSpaceDE w:val="0"/>
        <w:autoSpaceDN w:val="0"/>
      </w:pPr>
      <w:r>
        <w:rPr>
          <w:rFonts w:ascii="맑은 고딕" w:hAnsi="맑은 고딕" w:eastAsia="맑은 고딕" w:cs="맑은 고딕"/>
          <w:b/>
          <w:color w:val="173F5F"/>
          <w:sz w:val="32"/>
        </w:rPr>
        <w:t>15. 결론</w:t>
      </w:r>
    </w:p>
    <w:p>
      <w:pPr>
        <w:autoSpaceDE w:val="0"/>
        <w:autoSpaceDN w:val="0"/>
        <w:spacing w:after="120"/>
      </w:pPr>
      <w:r>
        <w:rPr>
          <w:rFonts w:ascii="맑은 고딕" w:hAnsi="맑은 고딕" w:eastAsia="맑은 고딕" w:cs="맑은 고딕"/>
          <w:color w:val="1D2A38"/>
          <w:sz w:val="20"/>
        </w:rPr>
        <w:t>지금 단계에서 요구하는 것은 ‘착공 확정’이 아니라 ‘공식 검토의 문을 여는 것’이다. 남성역과 숭실대입구역 사이 약 2km 구간의 정중앙(소공원2와 상도중학교 사이 사거리)은 가까운 기존역까지 직선 0.95km로 구간 안에서 접근성이 가장 낮은 지점이며, 핵심 4개 단지 5,073세대(직접 수혜 1,678세대)가 인근에 있고 정비사업도 진행 중이다. 운영 중인 노선에 정거장을 추가한 선례는 서울 8호선 남위례역을 포함해 여럿 있고, 재원은 원인자·수익자가 나눈 경우가 많았다. 기존역 이용이 가능하다는 사실은 인정하되, 경사와 실제 보행시간이 만드는 접근성 차이를 자료로 검증해 달라고 요청한다. 가장 큰 약점인 공사비와 기존 열차 지체를 숨기지 않고 경제성 분석에 반영하며, 접근시간 편익만으로는 경제성이 부족할 수 있다는 점도 알고 재원 분담까지 함께 검토해 달라고 요청한다. 관악구 소재 단지가 포함되므로 동작구와 관악구 의견을 함께 요청한다.</w:t>
      </w:r>
    </w:p>
    <w:p>
      <w:pPr>
        <w:autoSpaceDE w:val="0"/>
        <w:autoSpaceDN w:val="0"/>
        <w:spacing w:after="40" w:line="144" w:lineRule="auto"/>
      </w:pPr>
    </w:p>
    <w:p>
      <w:pPr>
        <w:pStyle w:val="Heading2"/>
        <w:pBdr>
          <w:bottom w:val="single" w:sz="8" w:space="3" w:color="c9d3de"/>
        </w:pBdr>
        <w:autoSpaceDE w:val="0"/>
        <w:autoSpaceDN w:val="0"/>
      </w:pPr>
      <w:r>
        <w:rPr>
          <w:rFonts w:ascii="맑은 고딕" w:hAnsi="맑은 고딕" w:eastAsia="맑은 고딕" w:cs="맑은 고딕"/>
          <w:b/>
          <w:color w:val="173F5F"/>
          <w:sz w:val="32"/>
        </w:rPr>
        <w:t>부록. 용어 설명</w:t>
      </w:r>
    </w:p>
    <w:tbl>
      <w:tblPr>
        <w:tblW w:w="9751" w:type="dxa"/>
        <w:jc w:val="center"/>
        <w:tblLayout w:type="fixed"/>
        <w:tblLook w:firstColumn="1" w:firstRow="1" w:lastColumn="0" w:lastRow="0" w:noHBand="0" w:noVBand="1" w:val="04A0"/>
      </w:tblPr>
      <w:tblGrid>
        <w:gridCol w:w="3154"/>
        <w:gridCol w:w="6596"/>
      </w:tblGrid>
      <w:tr>
        <w:trPr>
          <w:cantSplit/>
          <w:tblHeader/>
        </w:trPr>
        <w:tc>
          <w:tcPr>
            <w:tcW w:type="dxa" w:w="3154"/>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용어</w:t>
            </w:r>
          </w:p>
        </w:tc>
        <w:tc>
          <w:tcPr>
            <w:tcW w:type="dxa" w:w="6596"/>
            <w:tcBorders>
              <w:top w:val="nil"/>
              <w:left w:val="nil"/>
              <w:bottom w:val="single" w:sz="10" w:space="0" w:color="9fb3c8"/>
              <w:right w:val="nil"/>
            </w:tcBorders>
            <w:shd w:val="clear" w:color="auto" w:fill="EEF3F9"/>
            <w:tcMar>
              <w:top w:w="45" w:type="dxa"/>
              <w:left w:w="90" w:type="dxa"/>
              <w:bottom w:w="45" w:type="dxa"/>
              <w:right w:w="90" w:type="dxa"/>
            </w:tcMar>
            <w:vAlign w:val="center"/>
          </w:tcPr>
          <w:p>
            <w:pPr>
              <w:autoSpaceDE w:val="0"/>
              <w:autoSpaceDN w:val="0"/>
              <w:spacing w:after="0" w:line="283" w:lineRule="auto"/>
            </w:pPr>
            <w:r>
              <w:rPr>
                <w:rFonts w:ascii="맑은 고딕" w:hAnsi="맑은 고딕" w:eastAsia="맑은 고딕" w:cs="맑은 고딕"/>
                <w:b/>
                <w:color w:val="1D2A38"/>
                <w:sz w:val="17"/>
              </w:rPr>
              <w:t>뜻</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B/C(비용편익비)</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편익 ÷ 비용. 1.0이면 편익과 비용이 같고, 서울시 3차 선정 기준은 0.7 이상이다. 이 문서는 연 단위로 단순 비교한 스크리닝 값이다.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AHP(정책성 평가)</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지역균형·접근성·사업 연계 등을 계층적으로 점수화하는 방법. 3차 선정 기준은 0.5 이상이다.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단면 수송량</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어떤 구간을 하루에 지나는 승객 수(양방향 합). 신설 정거장에 열차가 설 때 시간이 늘어나는 기존 승객의 규모를 뜻한다.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추가 정차 지연</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새 정거장 때문에 늘어나는 구간 통과시간(정차시간 + 감속·가속 손실), 초 단위.</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승객-시간</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승객 수 × 시간. 여기에 시간가치(원/시간)를 곱하면 금액이 된다.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시간가치</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승객 1명의 1시간을 돈으로 환산한 값. 이 문서는 약 1.16만 원/시간을 가정했고 공식 값 확인이 필요하다.</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연환산 건설비</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건설비를 연 4.5%·30년으로 나눠 매년 부담하는 금액(건설비 × 0.0614).</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전환분 · 순증분</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전환분은 기존역 이용자가 신설역으로 옮긴 승객, 순증분은 버스·승용차·도보에서 새로 철도를 타게 된 승객.</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인필(infill) 정거장</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운영 중인 노선의 기존 역 사이에 새로 추가하는 정거장.</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직접 수혜 · 선택 전환 단지</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직접 수혜는 현재 기존역에서 직선 800m 넘게 떨어진 단지, 선택 전환은 기존역도 쓸 수 있으나 신설역이 더 가까워지는 단지.</w:t>
            </w:r>
          </w:p>
        </w:tc>
      </w:tr>
      <w:tr>
        <w:trPr>
          <w:cantSplit/>
        </w:trPr>
        <w:tc>
          <w:tcPr>
            <w:tcW w:type="dxa" w:w="3154"/>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모아타운</w:t>
            </w:r>
          </w:p>
        </w:tc>
        <w:tc>
          <w:tcPr>
            <w:tcW w:type="dxa" w:w="6596"/>
            <w:tcBorders>
              <w:top w:val="nil"/>
              <w:left w:val="nil"/>
              <w:bottom w:val="single" w:sz="4" w:space="0" w:color="dde4ec"/>
              <w:right w:val="nil"/>
            </w:tcBorders>
            <w:tcMar>
              <w:top w:w="45" w:type="dxa"/>
              <w:left w:w="90" w:type="dxa"/>
              <w:bottom w:w="45" w:type="dxa"/>
              <w:right w:w="90" w:type="dxa"/>
            </w:tcMar>
            <w:vAlign w:val="top"/>
          </w:tcPr>
          <w:p>
            <w:pPr>
              <w:autoSpaceDE w:val="0"/>
              <w:autoSpaceDN w:val="0"/>
              <w:spacing w:after="0" w:line="283" w:lineRule="auto"/>
            </w:pPr>
            <w:r>
              <w:rPr>
                <w:rFonts w:ascii="맑은 고딕" w:hAnsi="맑은 고딕" w:eastAsia="맑은 고딕" w:cs="맑은 고딕"/>
                <w:color w:val="1D2A38"/>
                <w:sz w:val="17"/>
              </w:rPr>
              <w:t>서울시가 저층 주거지의 소규모 정비(모아주택)를 묶어 추진하는 사업.</w:t>
            </w:r>
          </w:p>
        </w:tc>
      </w:tr>
    </w:tbl>
    <w:p>
      <w:pPr>
        <w:autoSpaceDE w:val="0"/>
        <w:autoSpaceDN w:val="0"/>
        <w:spacing w:after="40" w:line="144" w:lineRule="auto"/>
      </w:pPr>
    </w:p>
    <w:p>
      <w:pPr>
        <w:pBdr>
          <w:top w:val="single" w:sz="6" w:space="6" w:color="c9d3de"/>
        </w:pBdr>
        <w:autoSpaceDE w:val="0"/>
        <w:autoSpaceDN w:val="0"/>
        <w:spacing w:before="280"/>
      </w:pPr>
      <w:r>
        <w:rPr>
          <w:rFonts w:ascii="맑은 고딕" w:hAnsi="맑은 고딕" w:eastAsia="맑은 고딕" w:cs="맑은 고딕"/>
          <w:b/>
          <w:color w:val="173F5F"/>
          <w:sz w:val="18"/>
        </w:rPr>
        <w:t>주요 출처</w:t>
      </w:r>
    </w:p>
    <w:p>
      <w:pPr>
        <w:autoSpaceDE w:val="0"/>
        <w:autoSpaceDN w:val="0"/>
        <w:spacing w:after="20" w:line="264" w:lineRule="auto"/>
      </w:pPr>
      <w:r>
        <w:rPr>
          <w:rFonts w:ascii="맑은 고딕" w:hAnsi="맑은 고딕" w:eastAsia="맑은 고딕" w:cs="맑은 고딕"/>
          <w:color w:val="5B6775"/>
          <w:sz w:val="15"/>
        </w:rPr>
        <w:t>[S1] 데일리안 2024-08-10 https://v.daum.net/v/20240810060257076</w:t>
      </w:r>
    </w:p>
    <w:p>
      <w:pPr>
        <w:autoSpaceDE w:val="0"/>
        <w:autoSpaceDN w:val="0"/>
        <w:spacing w:after="20" w:line="264" w:lineRule="auto"/>
      </w:pPr>
      <w:r>
        <w:rPr>
          <w:rFonts w:ascii="맑은 고딕" w:hAnsi="맑은 고딕" w:eastAsia="맑은 고딕" w:cs="맑은 고딕"/>
          <w:color w:val="5B6775"/>
          <w:sz w:val="15"/>
        </w:rPr>
        <w:t>[S2] 서울열린데이터광장 서울교통공사_승하차순위 https://data.seoul.go.kr/dataList/OA-22481/S/1/datasetView.do</w:t>
      </w:r>
    </w:p>
    <w:p>
      <w:pPr>
        <w:autoSpaceDE w:val="0"/>
        <w:autoSpaceDN w:val="0"/>
        <w:spacing w:after="20" w:line="264" w:lineRule="auto"/>
      </w:pPr>
      <w:r>
        <w:rPr>
          <w:rFonts w:ascii="맑은 고딕" w:hAnsi="맑은 고딕" w:eastAsia="맑은 고딕" w:cs="맑은 고딕"/>
          <w:color w:val="5B6775"/>
          <w:sz w:val="15"/>
        </w:rPr>
        <w:t>[S3] 서울시 성현동 1021 모아타운 https://news.seoul.go.kr/citybuild/archives/539107</w:t>
      </w:r>
    </w:p>
    <w:p>
      <w:pPr>
        <w:autoSpaceDE w:val="0"/>
        <w:autoSpaceDN w:val="0"/>
        <w:spacing w:after="20" w:line="264" w:lineRule="auto"/>
      </w:pPr>
      <w:r>
        <w:rPr>
          <w:rFonts w:ascii="맑은 고딕" w:hAnsi="맑은 고딕" w:eastAsia="맑은 고딕" w:cs="맑은 고딕"/>
          <w:color w:val="5B6775"/>
          <w:sz w:val="15"/>
        </w:rPr>
        <w:t>[S4] 서울시 사당동 202-29 모아타운 https://news.seoul.go.kr/citybuild/archives/541969</w:t>
      </w:r>
    </w:p>
    <w:p>
      <w:pPr>
        <w:autoSpaceDE w:val="0"/>
        <w:autoSpaceDN w:val="0"/>
        <w:spacing w:after="20" w:line="264" w:lineRule="auto"/>
      </w:pPr>
      <w:r>
        <w:rPr>
          <w:rFonts w:ascii="맑은 고딕" w:hAnsi="맑은 고딕" w:eastAsia="맑은 고딕" w:cs="맑은 고딕"/>
          <w:color w:val="5B6775"/>
          <w:sz w:val="15"/>
        </w:rPr>
        <w:t>[S5] 서울시 재산세 공동과세 https://news.seoul.go.kr/gov/archives/223151</w:t>
      </w:r>
    </w:p>
    <w:p>
      <w:pPr>
        <w:autoSpaceDE w:val="0"/>
        <w:autoSpaceDN w:val="0"/>
        <w:spacing w:after="20" w:line="264" w:lineRule="auto"/>
      </w:pPr>
      <w:r>
        <w:rPr>
          <w:rFonts w:ascii="맑은 고딕" w:hAnsi="맑은 고딕" w:eastAsia="맑은 고딕" w:cs="맑은 고딕"/>
          <w:color w:val="5B6775"/>
          <w:sz w:val="15"/>
        </w:rPr>
        <w:t>[S6] 데일리안 “서울 전역 10분 내 역세권으로”…6개 노선 신속 추진(2026.6) https://www.dailian.co.kr/news/view/1655081/</w:t>
      </w:r>
    </w:p>
    <w:p>
      <w:pPr>
        <w:autoSpaceDE w:val="0"/>
        <w:autoSpaceDN w:val="0"/>
        <w:spacing w:after="20" w:line="264" w:lineRule="auto"/>
      </w:pPr>
      <w:r>
        <w:rPr>
          <w:rFonts w:ascii="맑은 고딕" w:hAnsi="맑은 고딕" w:eastAsia="맑은 고딕" w:cs="맑은 고딕"/>
          <w:color w:val="5B6775"/>
          <w:sz w:val="15"/>
        </w:rPr>
        <w:t>[S7] 서울시 모아타운 5곳 확정 https://news.seoul.go.kr/citybuild/archives/530311</w:t>
      </w:r>
    </w:p>
    <w:p>
      <w:pPr>
        <w:autoSpaceDE w:val="0"/>
        <w:autoSpaceDN w:val="0"/>
        <w:spacing w:after="20" w:line="264" w:lineRule="auto"/>
      </w:pPr>
      <w:r>
        <w:rPr>
          <w:rFonts w:ascii="맑은 고딕" w:hAnsi="맑은 고딕" w:eastAsia="맑은 고딕" w:cs="맑은 고딕"/>
          <w:color w:val="5B6775"/>
          <w:sz w:val="15"/>
        </w:rPr>
        <w:t>[S8] 서울지하철 7호선 7-21공구 시공사례(CODIL) https://www.codil.or.kr/viewDtlConWrkDtlSch.do?gubun=bus&amp;pMetaCode=CIGCSP510239</w:t>
      </w:r>
    </w:p>
    <w:p>
      <w:pPr>
        <w:autoSpaceDE w:val="0"/>
        <w:autoSpaceDN w:val="0"/>
        <w:spacing w:after="20" w:line="264" w:lineRule="auto"/>
      </w:pPr>
      <w:r>
        <w:rPr>
          <w:rFonts w:ascii="맑은 고딕" w:hAnsi="맑은 고딕" w:eastAsia="맑은 고딕" w:cs="맑은 고딕"/>
          <w:color w:val="5B6775"/>
          <w:sz w:val="15"/>
        </w:rPr>
        <w:t>[S9] 서울 열린데이터광장 250m 생활인구 https://data.seoul.go.kr/dataList/OA-23016/S/1/datasetView.do</w:t>
      </w:r>
    </w:p>
    <w:p>
      <w:pPr>
        <w:autoSpaceDE w:val="0"/>
        <w:autoSpaceDN w:val="0"/>
        <w:spacing w:after="20" w:line="264" w:lineRule="auto"/>
      </w:pPr>
      <w:r>
        <w:rPr>
          <w:rFonts w:ascii="맑은 고딕" w:hAnsi="맑은 고딕" w:eastAsia="맑은 고딕" w:cs="맑은 고딕"/>
          <w:color w:val="5B6775"/>
          <w:sz w:val="15"/>
        </w:rPr>
        <w:t>[S10] 한국경제 “서울 지하철 하루승객 669만…” (2026.3.10, 서울교통공사 집계 인용: 2025년 7호선 일평균 85.6만 명) https://www.hankyung.com/article/2026031018831</w:t>
      </w:r>
    </w:p>
    <w:p>
      <w:pPr>
        <w:autoSpaceDE w:val="0"/>
        <w:autoSpaceDN w:val="0"/>
        <w:spacing w:after="20" w:line="264" w:lineRule="auto"/>
      </w:pPr>
      <w:r>
        <w:rPr>
          <w:rFonts w:ascii="맑은 고딕" w:hAnsi="맑은 고딕" w:eastAsia="맑은 고딕" w:cs="맑은 고딕"/>
          <w:color w:val="5B6775"/>
          <w:sz w:val="15"/>
        </w:rPr>
        <w:t>[S11] 서울시 교통이용 통계보고서(2022. 2) 지하철 수단통행 평균 13.73km https://scpm.seoul.go.kr/resources/pdf/%EA%B5%90%ED%86%B5%EC%9D%B4%EC%9A%A9%ED%86%B5%EA%B3%84.pdf</w:t>
      </w:r>
    </w:p>
    <w:p>
      <w:pPr>
        <w:autoSpaceDE w:val="0"/>
        <w:autoSpaceDN w:val="0"/>
        <w:spacing w:after="20" w:line="264" w:lineRule="auto"/>
      </w:pPr>
      <w:r>
        <w:rPr>
          <w:rFonts w:ascii="맑은 고딕" w:hAnsi="맑은 고딕" w:eastAsia="맑은 고딕" w:cs="맑은 고딕"/>
          <w:color w:val="5B6775"/>
          <w:sz w:val="15"/>
        </w:rPr>
        <w:t>[S12] 서울시 지하철 현황(7호선 영업거리 46.9km) https://news.seoul.go.kr/traffic/archives/1551</w:t>
      </w:r>
    </w:p>
    <w:p>
      <w:pPr>
        <w:autoSpaceDE w:val="0"/>
        <w:autoSpaceDN w:val="0"/>
        <w:spacing w:after="20" w:line="264" w:lineRule="auto"/>
      </w:pPr>
      <w:r>
        <w:rPr>
          <w:rFonts w:ascii="맑은 고딕" w:hAnsi="맑은 고딕" w:eastAsia="맑은 고딕" w:cs="맑은 고딕"/>
          <w:color w:val="5B6775"/>
          <w:sz w:val="15"/>
        </w:rPr>
        <w:t>[S13] 서울시 제2차 도시철도망 구축계획(안) https://news.seoul.go.kr/traffic/archives/500890</w:t>
      </w:r>
    </w:p>
    <w:p>
      <w:pPr>
        <w:autoSpaceDE w:val="0"/>
        <w:autoSpaceDN w:val="0"/>
        <w:spacing w:after="20" w:line="264" w:lineRule="auto"/>
      </w:pPr>
      <w:r>
        <w:rPr>
          <w:rFonts w:ascii="맑은 고딕" w:hAnsi="맑은 고딕" w:eastAsia="맑은 고딕" w:cs="맑은 고딕"/>
          <w:color w:val="5B6775"/>
          <w:sz w:val="15"/>
        </w:rPr>
        <w:t>[S14] 서울시 제3차 도시철도망 구축계획 수립 https://www.seoul.go.kr/news/news_report.do?nttNo=459504&amp;srchCtgry=467</w:t>
      </w:r>
    </w:p>
    <w:p>
      <w:pPr>
        <w:autoSpaceDE w:val="0"/>
        <w:autoSpaceDN w:val="0"/>
        <w:spacing w:after="20" w:line="264" w:lineRule="auto"/>
      </w:pPr>
      <w:r>
        <w:rPr>
          <w:rFonts w:ascii="맑은 고딕" w:hAnsi="맑은 고딕" w:eastAsia="맑은 고딕" w:cs="맑은 고딕"/>
          <w:color w:val="5B6775"/>
          <w:sz w:val="15"/>
        </w:rPr>
        <w:t>[S15] 국토교통부 예규 제76호 도시철도망 구축계획 및 노선별 기본계획 수립지침(2014), 최신 지침 확인 필요</w:t>
      </w:r>
    </w:p>
    <w:p>
      <w:pPr>
        <w:autoSpaceDE w:val="0"/>
        <w:autoSpaceDN w:val="0"/>
        <w:spacing w:after="20" w:line="264" w:lineRule="auto"/>
      </w:pPr>
      <w:r>
        <w:rPr>
          <w:rFonts w:ascii="맑은 고딕" w:hAnsi="맑은 고딕" w:eastAsia="맑은 고딕" w:cs="맑은 고딕"/>
          <w:color w:val="5B6775"/>
          <w:sz w:val="15"/>
        </w:rPr>
        <w:t>[S16] 일간경기 GTX-B 청학역 확정 https://www.1gan.co.kr/news/articleView.html?idxno=322333</w:t>
      </w:r>
    </w:p>
    <w:p>
      <w:pPr>
        <w:autoSpaceDE w:val="0"/>
        <w:autoSpaceDN w:val="0"/>
        <w:spacing w:after="20" w:line="264" w:lineRule="auto"/>
      </w:pPr>
      <w:r>
        <w:rPr>
          <w:rFonts w:ascii="맑은 고딕" w:hAnsi="맑은 고딕" w:eastAsia="맑은 고딕" w:cs="맑은 고딕"/>
          <w:color w:val="5B6775"/>
          <w:sz w:val="15"/>
        </w:rPr>
        <w:t>[S17] 서울Pn GTX-B 추가정거장 경제성 https://go.seoul.co.kr/news/newsView.php?id=20251222500077</w:t>
      </w:r>
    </w:p>
    <w:p>
      <w:pPr>
        <w:autoSpaceDE w:val="0"/>
        <w:autoSpaceDN w:val="0"/>
        <w:spacing w:after="20" w:line="264" w:lineRule="auto"/>
      </w:pPr>
      <w:r>
        <w:rPr>
          <w:rFonts w:ascii="맑은 고딕" w:hAnsi="맑은 고딕" w:eastAsia="맑은 고딕" w:cs="맑은 고딕"/>
          <w:color w:val="5B6775"/>
          <w:sz w:val="15"/>
        </w:rPr>
        <w:t>[S18] 노컷뉴스 GTX-B 인천 추가역 30초 지연 https://v.daum.net/v/20250906050307389</w:t>
      </w:r>
    </w:p>
    <w:p>
      <w:pPr>
        <w:autoSpaceDE w:val="0"/>
        <w:autoSpaceDN w:val="0"/>
        <w:spacing w:after="20" w:line="264" w:lineRule="auto"/>
      </w:pPr>
      <w:r>
        <w:rPr>
          <w:rFonts w:ascii="맑은 고딕" w:hAnsi="맑은 고딕" w:eastAsia="맑은 고딕" w:cs="맑은 고딕"/>
          <w:color w:val="5B6775"/>
          <w:sz w:val="15"/>
        </w:rPr>
        <w:t>[S19] 기호일보 청학역 확정 https://www.kihoilbo.co.kr/news/articleView.html?idxno=3007872</w:t>
      </w:r>
    </w:p>
    <w:p>
      <w:pPr>
        <w:autoSpaceDE w:val="0"/>
        <w:autoSpaceDN w:val="0"/>
        <w:spacing w:after="20" w:line="264" w:lineRule="auto"/>
      </w:pPr>
      <w:r>
        <w:rPr>
          <w:rFonts w:ascii="맑은 고딕" w:hAnsi="맑은 고딕" w:eastAsia="맑은 고딕" w:cs="맑은 고딕"/>
          <w:color w:val="5B6775"/>
          <w:sz w:val="15"/>
        </w:rPr>
        <w:t>[S20] 동작구 시설관리공단 소공원 현황(소공원1·2 사당동 1160-1·1160-4) https://www.idongjak.or.kr/html/facility/facility03_07_01.php</w:t>
      </w:r>
    </w:p>
    <w:p>
      <w:pPr>
        <w:autoSpaceDE w:val="0"/>
        <w:autoSpaceDN w:val="0"/>
        <w:spacing w:after="20" w:line="264" w:lineRule="auto"/>
      </w:pPr>
      <w:r>
        <w:rPr>
          <w:rFonts w:ascii="맑은 고딕" w:hAnsi="맑은 고딕" w:eastAsia="맑은 고딕" w:cs="맑은 고딕"/>
          <w:color w:val="5B6775"/>
          <w:sz w:val="15"/>
        </w:rPr>
        <w:t>[S21] 상도중학교 주소(사당동 181-20) https://seoulsangdo.sen.ms.kr/</w:t>
      </w:r>
    </w:p>
    <w:p>
      <w:pPr>
        <w:autoSpaceDE w:val="0"/>
        <w:autoSpaceDN w:val="0"/>
        <w:spacing w:after="20" w:line="264" w:lineRule="auto"/>
      </w:pPr>
      <w:r>
        <w:rPr>
          <w:rFonts w:ascii="맑은 고딕" w:hAnsi="맑은 고딕" w:eastAsia="맑은 고딕" w:cs="맑은 고딕"/>
          <w:color w:val="5B6775"/>
          <w:sz w:val="15"/>
        </w:rPr>
        <w:t>[S22] 동작구의회 복지건설위원회 회의록(사당로 확장 타당성 검토 용역) https://assembly.dongjak.go.kr/viewer/minutes.do?uid=19669&amp;mem_sch=08060</w:t>
      </w:r>
    </w:p>
    <w:p>
      <w:pPr>
        <w:autoSpaceDE w:val="0"/>
        <w:autoSpaceDN w:val="0"/>
        <w:spacing w:after="20" w:line="264" w:lineRule="auto"/>
      </w:pPr>
      <w:r>
        <w:rPr>
          <w:rFonts w:ascii="맑은 고딕" w:hAnsi="맑은 고딕" w:eastAsia="맑은 고딕" w:cs="맑은 고딕"/>
          <w:color w:val="5B6775"/>
          <w:sz w:val="15"/>
        </w:rPr>
        <w:t>[S23] KDI 예비타당성조사 수행 총괄지침(사회적 할인율 4.5%, 민감도 분석)</w:t>
      </w:r>
    </w:p>
    <w:p>
      <w:pPr>
        <w:autoSpaceDE w:val="0"/>
        <w:autoSpaceDN w:val="0"/>
        <w:spacing w:after="20" w:line="264" w:lineRule="auto"/>
      </w:pPr>
      <w:r>
        <w:rPr>
          <w:rFonts w:ascii="맑은 고딕" w:hAnsi="맑은 고딕" w:eastAsia="맑은 고딕" w:cs="맑은 고딕"/>
          <w:color w:val="5B6775"/>
          <w:sz w:val="15"/>
        </w:rPr>
        <w:t>[S24] 지방세기본법 제8조·제9조(취득세 특별시세, 서울 재산세 공동과세) https://www.law.go.kr</w:t>
      </w:r>
    </w:p>
    <w:p>
      <w:pPr>
        <w:autoSpaceDE w:val="0"/>
        <w:autoSpaceDN w:val="0"/>
        <w:spacing w:after="20" w:line="264" w:lineRule="auto"/>
      </w:pPr>
      <w:r>
        <w:rPr>
          <w:rFonts w:ascii="맑은 고딕" w:hAnsi="맑은 고딕" w:eastAsia="맑은 고딕" w:cs="맑은 고딕"/>
          <w:color w:val="5B6775"/>
          <w:sz w:val="15"/>
        </w:rPr>
        <w:t>[S25] 서울시 ‘내 손안에 서울’ 남위례역 개통 예정(2021.6.22) https://mediahub.seoul.go.kr/archives/2002042</w:t>
      </w:r>
    </w:p>
    <w:p>
      <w:pPr>
        <w:autoSpaceDE w:val="0"/>
        <w:autoSpaceDN w:val="0"/>
        <w:spacing w:after="20" w:line="264" w:lineRule="auto"/>
      </w:pPr>
      <w:r>
        <w:rPr>
          <w:rFonts w:ascii="맑은 고딕" w:hAnsi="맑은 고딕" w:eastAsia="맑은 고딕" w:cs="맑은 고딕"/>
          <w:color w:val="5B6775"/>
          <w:sz w:val="15"/>
        </w:rPr>
        <w:t>[S26] 서울시 ‘내 손안에 서울’ 남위례역 개통 후 이용 현황(2022.1.4) https://mediahub.seoul.go.kr/archives/2003578</w:t>
      </w:r>
    </w:p>
    <w:p>
      <w:pPr>
        <w:autoSpaceDE w:val="0"/>
        <w:autoSpaceDN w:val="0"/>
        <w:spacing w:after="20" w:line="264" w:lineRule="auto"/>
      </w:pPr>
      <w:r>
        <w:rPr>
          <w:rFonts w:ascii="맑은 고딕" w:hAnsi="맑은 고딕" w:eastAsia="맑은 고딕" w:cs="맑은 고딕"/>
          <w:color w:val="5B6775"/>
          <w:sz w:val="15"/>
        </w:rPr>
        <w:t>[S27] 트윅24 남위례역 운영 시작(2021.12.14) https://www.twig24.com/news/local_gg/2021/12/14/20211214012021</w:t>
      </w:r>
    </w:p>
    <w:p>
      <w:pPr>
        <w:autoSpaceDE w:val="0"/>
        <w:autoSpaceDN w:val="0"/>
        <w:spacing w:after="20" w:line="264" w:lineRule="auto"/>
      </w:pPr>
      <w:r>
        <w:rPr>
          <w:rFonts w:ascii="맑은 고딕" w:hAnsi="맑은 고딕" w:eastAsia="맑은 고딕" w:cs="맑은 고딕"/>
          <w:color w:val="5B6775"/>
          <w:sz w:val="15"/>
        </w:rPr>
        <w:t>[S28] Wikipedia, Takanawa Gateway Station https://en.wikipedia.org/wiki/Takanawa_Gateway_Station</w:t>
      </w:r>
    </w:p>
    <w:p>
      <w:pPr>
        <w:autoSpaceDE w:val="0"/>
        <w:autoSpaceDN w:val="0"/>
        <w:spacing w:after="20" w:line="264" w:lineRule="auto"/>
      </w:pPr>
      <w:r>
        <w:rPr>
          <w:rFonts w:ascii="맑은 고딕" w:hAnsi="맑은 고딕" w:eastAsia="맑은 고딕" w:cs="맑은 고딕"/>
          <w:color w:val="5B6775"/>
          <w:sz w:val="15"/>
        </w:rPr>
        <w:t>[S29] Jiji Press 다카나와게이트웨이 개업 보도(2020.3.9) https://sp.m.jiji.com/english/show/3445</w:t>
      </w:r>
    </w:p>
    <w:p>
      <w:pPr>
        <w:autoSpaceDE w:val="0"/>
        <w:autoSpaceDN w:val="0"/>
        <w:spacing w:after="20" w:line="264" w:lineRule="auto"/>
      </w:pPr>
      <w:r>
        <w:rPr>
          <w:rFonts w:ascii="맑은 고딕" w:hAnsi="맑은 고딕" w:eastAsia="맑은 고딕" w:cs="맑은 고딕"/>
          <w:color w:val="5B6775"/>
          <w:sz w:val="15"/>
        </w:rPr>
        <w:t>[S30] 도쿄메트로·UR도시기구 보도자료 虎ノ門ヒルズ駅(2019) https://www.tokyometro.jp/news/2019/205126.html</w:t>
      </w:r>
    </w:p>
    <w:p>
      <w:pPr>
        <w:autoSpaceDE w:val="0"/>
        <w:autoSpaceDN w:val="0"/>
        <w:spacing w:after="20" w:line="264" w:lineRule="auto"/>
      </w:pPr>
      <w:r>
        <w:rPr>
          <w:rFonts w:ascii="맑은 고딕" w:hAnsi="맑은 고딕" w:eastAsia="맑은 고딕" w:cs="맑은 고딕"/>
          <w:color w:val="5B6775"/>
          <w:sz w:val="15"/>
        </w:rPr>
        <w:t>[S31] Traffic News 虎ノ門ヒルズ駅 6月6日開業 https://trafficnews.jp/post/91194</w:t>
      </w:r>
    </w:p>
    <w:p>
      <w:pPr>
        <w:autoSpaceDE w:val="0"/>
        <w:autoSpaceDN w:val="0"/>
        <w:spacing w:after="20" w:line="264" w:lineRule="auto"/>
      </w:pPr>
      <w:r>
        <w:rPr>
          <w:rFonts w:ascii="맑은 고딕" w:hAnsi="맑은 고딕" w:eastAsia="맑은 고딕" w:cs="맑은 고딕"/>
          <w:color w:val="5B6775"/>
          <w:sz w:val="15"/>
        </w:rPr>
        <w:t>[S32] 싱가포르 LTA Canberra MRT station to open on 2 November 2019 https://lta.gov.sg/content/ltagov/en/newsroom/2019/5/2/canberra-mrt-station-to-open-on-2-november-2019.html</w:t>
      </w:r>
    </w:p>
    <w:p>
      <w:pPr>
        <w:autoSpaceDE w:val="0"/>
        <w:autoSpaceDN w:val="0"/>
        <w:spacing w:after="20" w:line="264" w:lineRule="auto"/>
      </w:pPr>
      <w:r>
        <w:rPr>
          <w:rFonts w:ascii="맑은 고딕" w:hAnsi="맑은 고딕" w:eastAsia="맑은 고딕" w:cs="맑은 고딕"/>
          <w:color w:val="5B6775"/>
          <w:sz w:val="15"/>
        </w:rPr>
        <w:t>[S33] Wikipedia, Canberra MRT station https://en.wikipedia.org/wiki/Canberra_MRT_station</w:t>
      </w:r>
    </w:p>
    <w:p>
      <w:pPr>
        <w:autoSpaceDE w:val="0"/>
        <w:autoSpaceDN w:val="0"/>
        <w:spacing w:after="20" w:line="264" w:lineRule="auto"/>
      </w:pPr>
      <w:r>
        <w:rPr>
          <w:rFonts w:ascii="맑은 고딕" w:hAnsi="맑은 고딕" w:eastAsia="맑은 고딕" w:cs="맑은 고딕"/>
          <w:color w:val="5B6775"/>
          <w:sz w:val="15"/>
        </w:rPr>
        <w:t>[S34] FHWA Project Profile, NoMa–Gallaudet U Metrorail Station https://www.fhwa.dot.gov/ipd/project_profiles/dc_noma.aspx</w:t>
      </w:r>
    </w:p>
    <w:p>
      <w:pPr>
        <w:autoSpaceDE w:val="0"/>
        <w:autoSpaceDN w:val="0"/>
        <w:spacing w:after="20" w:line="264" w:lineRule="auto"/>
      </w:pPr>
      <w:r>
        <w:rPr>
          <w:rFonts w:ascii="맑은 고딕" w:hAnsi="맑은 고딕" w:eastAsia="맑은 고딕" w:cs="맑은 고딕"/>
          <w:color w:val="5B6775"/>
          <w:sz w:val="15"/>
        </w:rPr>
        <w:t>[S35] Wikipedia, NoMa–Gallaudet U station https://en.wikipedia.org/wiki/NoMa%E2%80%93Gallaudet_U_station</w:t>
      </w:r>
    </w:p>
    <w:p>
      <w:pPr>
        <w:autoSpaceDE w:val="0"/>
        <w:autoSpaceDN w:val="0"/>
        <w:spacing w:after="20" w:line="264" w:lineRule="auto"/>
      </w:pPr>
      <w:r>
        <w:rPr>
          <w:rFonts w:ascii="맑은 고딕" w:hAnsi="맑은 고딕" w:eastAsia="맑은 고딕" w:cs="맑은 고딕"/>
          <w:color w:val="5B6775"/>
          <w:sz w:val="15"/>
        </w:rPr>
        <w:t>[S36] Wikipedia, Assembly station (MBTA) https://en.wikipedia.org/wiki/Assembly_station</w:t>
      </w:r>
    </w:p>
    <w:p>
      <w:pPr>
        <w:autoSpaceDE w:val="0"/>
        <w:autoSpaceDN w:val="0"/>
        <w:spacing w:after="20" w:line="264" w:lineRule="auto"/>
      </w:pPr>
      <w:r>
        <w:rPr>
          <w:rFonts w:ascii="맑은 고딕" w:hAnsi="맑은 고딕" w:eastAsia="맑은 고딕" w:cs="맑은 고딕"/>
          <w:color w:val="5B6775"/>
          <w:sz w:val="15"/>
        </w:rPr>
        <w:t>[S37] 경기일보 고양 창릉 교통대책 확정, GTX-A 창릉역 신설(2020.12.29) https://kyeonggi.com/article/202012291150927</w:t>
      </w:r>
    </w:p>
    <w:p>
      <w:pPr>
        <w:autoSpaceDE w:val="0"/>
        <w:autoSpaceDN w:val="0"/>
        <w:spacing w:after="20" w:line="264" w:lineRule="auto"/>
      </w:pPr>
      <w:r>
        <w:rPr>
          <w:rFonts w:ascii="맑은 고딕" w:hAnsi="맑은 고딕" w:eastAsia="맑은 고딕" w:cs="맑은 고딕"/>
          <w:color w:val="5B6775"/>
          <w:sz w:val="15"/>
        </w:rPr>
        <w:t>[S38] 파이낸셜뉴스 서울 지하철 평균 역간 거리(서울교통공사 자료 인용, 7호선 평균 1,143m, 연도 미표기) https://www.fnnews.com/news/202101081456038612</w:t>
      </w:r>
    </w:p>
    <w:p>
      <w:pPr>
        <w:autoSpaceDE w:val="0"/>
        <w:autoSpaceDN w:val="0"/>
        <w:spacing w:after="20" w:line="264" w:lineRule="auto"/>
      </w:pPr>
      <w:r>
        <w:rPr>
          <w:rFonts w:ascii="맑은 고딕" w:hAnsi="맑은 고딕" w:eastAsia="맑은 고딕" w:cs="맑은 고딕"/>
          <w:color w:val="5B6775"/>
          <w:sz w:val="15"/>
        </w:rPr>
        <w:t>[S39] 데일리안 “6개 노선에 9.2조원…서울시, 제3차 도시철도망 구축계획 수립”(2026.6.10: 총 연장 68.5km·사업비 9조 1,996억 원, 신규 노선 영향권 수혜인구 +36만 명, 경제성 B/C 0.7 이상·정책성 AHP 0.5 이상, 시민 공청회 6.30) https://www.dailian.co.kr/news/view/1654695</w:t>
      </w:r>
    </w:p>
    <w:p>
      <w:pPr>
        <w:autoSpaceDE w:val="0"/>
        <w:autoSpaceDN w:val="0"/>
        <w:spacing w:after="20" w:line="264" w:lineRule="auto"/>
      </w:pPr>
      <w:r>
        <w:rPr>
          <w:rFonts w:ascii="맑은 고딕" w:hAnsi="맑은 고딕" w:eastAsia="맑은 고딕" w:cs="맑은 고딕"/>
          <w:color w:val="5B6775"/>
          <w:sz w:val="15"/>
        </w:rPr>
        <w:t>※ 자료 성격 고지: 본 문서는 시민 제안 단계의 사전 검토안이다. 경제성(B/C) 관련 수치는 공식 타당성조사 결과가 아니라 공개 자료 기반 스크리닝·민감도이며, 서울시 및 관계기관의 정식 교통수요모형·설계자료로 대체되어야 한다. ‘가정’·‘미확정’ 항목은 서울시 자료와 기술검토를 거쳐 확정한다. 해외 사례와 위키백과 인용 수치는 2차 자료이며, 제안 위치 좌표는 지도 캡처 보정값으로 ±30~50m 오차를 포함한다. 수혜 인구당 사업비 비교는 서울시 발표의 ‘영향권 수혜인구’와 정의가 다를 수 있는 참고 지표다.</w:t>
      </w:r>
    </w:p>
    <w:sectPr w:rsidR="00FC693F" w:rsidRPr="0006063C" w:rsidSect="00034616">
      <w:headerReference w:type="default" r:id="rId9"/>
      <w:footerReference w:type="default" r:id="rId10"/>
      <w:pgSz w:w="11906" w:h="16838"/>
      <w:pgMar w:top="1077" w:right="1077" w:bottom="1020" w:left="107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맑은 고딕" w:hAnsi="맑은 고딕" w:eastAsia="맑은 고딕" w:cs="맑은 고딕"/>
        <w:color w:val="5B6775"/>
        <w:sz w:val="16"/>
      </w:rPr>
      <w:fldChar w:fldCharType="begin"/>
      <w:instrText xml:space="preserve">PAGE</w:instrText>
      <w:fldChar w:fldCharType="separate"/>
      <w:t>1</w:t>
      <w:fldChar w:fldCharType="end"/>
    </w:r>
    <w:r>
      <w:rPr>
        <w:rFonts w:ascii="맑은 고딕" w:hAnsi="맑은 고딕" w:eastAsia="맑은 고딕" w:cs="맑은 고딕"/>
        <w:color w:val="5B6775"/>
        <w:sz w:val="16"/>
      </w:rPr>
      <w:t xml:space="preserve"> / </w:t>
    </w:r>
    <w:r>
      <w:rPr>
        <w:rFonts w:ascii="맑은 고딕" w:hAnsi="맑은 고딕" w:eastAsia="맑은 고딕" w:cs="맑은 고딕"/>
        <w:color w:val="5B6775"/>
        <w:sz w:val="16"/>
      </w:rP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Bdr>
        <w:bottom w:val="single" w:sz="4" w:space="3" w:color="dfe5ec"/>
      </w:pBdr>
      <w:jc w:val="right"/>
    </w:pPr>
    <w:r>
      <w:rPr>
        <w:rFonts w:ascii="맑은 고딕" w:hAnsi="맑은 고딕" w:eastAsia="맑은 고딕" w:cs="맑은 고딕"/>
        <w:color w:val="5B6775"/>
        <w:sz w:val="16"/>
      </w:rPr>
      <w:t>7호선 남성역–숭실대입구역 중간역 신설 검토 제안서</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autoSpaceDE w:val="0"/>
      <w:autoSpaceDN w:val="0"/>
      <w:spacing w:after="80" w:line="307" w:lineRule="auto"/>
    </w:pPr>
    <w:rPr>
      <w:rFonts w:ascii="맑은 고딕" w:hAnsi="맑은 고딕" w:eastAsia="맑은 고딕" w:cs="맑은 고딕"/>
      <w:color w:val="1D2A38"/>
      <w:sz w:val="20"/>
      <w:lang w:val="ko-KR" w:eastAsia="ko-KR"/>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60" w:line="276" w:lineRule="auto"/>
      <w:outlineLvl w:val="0"/>
    </w:pPr>
    <w:rPr>
      <w:rFonts w:ascii="맑은 고딕" w:hAnsi="맑은 고딕" w:eastAsia="맑은 고딕" w:cs="맑은 고딕"/>
      <w:b/>
      <w:bCs/>
      <w:color w:val="173F5F"/>
      <w:sz w:val="50"/>
      <w:szCs w:val="28"/>
    </w:rPr>
  </w:style>
  <w:style w:type="paragraph" w:styleId="Heading2">
    <w:name w:val="heading 2"/>
    <w:basedOn w:val="Normal"/>
    <w:next w:val="Normal"/>
    <w:link w:val="Heading2Char"/>
    <w:uiPriority w:val="9"/>
    <w:unhideWhenUsed/>
    <w:qFormat/>
    <w:rsid w:val="00FC693F"/>
    <w:pPr>
      <w:keepNext/>
      <w:keepLines/>
      <w:spacing w:before="400" w:after="160" w:line="276" w:lineRule="auto"/>
      <w:outlineLvl w:val="1"/>
    </w:pPr>
    <w:rPr>
      <w:rFonts w:ascii="맑은 고딕" w:hAnsi="맑은 고딕" w:eastAsia="맑은 고딕" w:cs="맑은 고딕"/>
      <w:b/>
      <w:bCs/>
      <w:color w:val="173F5F"/>
      <w:sz w:val="32"/>
      <w:szCs w:val="26"/>
    </w:rPr>
  </w:style>
  <w:style w:type="paragraph" w:styleId="Heading3">
    <w:name w:val="heading 3"/>
    <w:basedOn w:val="Normal"/>
    <w:next w:val="Normal"/>
    <w:link w:val="Heading3Char"/>
    <w:uiPriority w:val="9"/>
    <w:unhideWhenUsed/>
    <w:qFormat/>
    <w:rsid w:val="00FC693F"/>
    <w:pPr>
      <w:keepNext/>
      <w:keepLines/>
      <w:spacing w:before="240" w:after="80" w:line="276" w:lineRule="auto"/>
      <w:outlineLvl w:val="2"/>
    </w:pPr>
    <w:rPr>
      <w:rFonts w:ascii="맑은 고딕" w:hAnsi="맑은 고딕" w:eastAsia="맑은 고딕" w:cs="맑은 고딕"/>
      <w:b/>
      <w:bCs/>
      <w:color w:val="173F5F"/>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7호선 남성역–숭실대입구역 중간역 신설 검토 제안서</dc:title>
  <dc:subject/>
  <dc:creator>시민 제안</dc:creator>
  <cp:keywords/>
  <dc:description>generated by python-docx</dc:description>
  <cp:lastModifiedBy/>
  <cp:revision>1</cp:revision>
  <dcterms:created xsi:type="dcterms:W3CDTF">2013-12-23T23:15:00Z</dcterms:created>
  <dcterms:modified xsi:type="dcterms:W3CDTF">2013-12-23T23:15:00Z</dcterms:modified>
  <cp:category/>
  <dc:language>ko-KR</dc:language>
</cp:coreProperties>
</file>