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세대이음 안심동행</w:t>
        <w:br/>
        <w:t>사업 제안서</w:t>
      </w:r>
    </w:p>
    <w:p>
      <w:pPr>
        <w:pStyle w:val="Subtitle"/>
      </w:pPr>
      <w:r>
        <w:t>고령층 사회참여와 초등학생 돌봄 공백 해소를 위한</w:t>
        <w:br/>
        <w:t>생활권 기반 동행 및 인계 서비스</w:t>
      </w:r>
    </w:p>
    <w:p>
      <w:pPr>
        <w:spacing w:before="80"/>
      </w:pPr>
      <w:r>
        <w:rPr>
          <w:color w:val="555555"/>
          <w:sz w:val="18"/>
        </w:rPr>
        <w:t>검토 기준일 2026년 9월 29일  |  시범사업 도입 검토안</w:t>
      </w:r>
    </w:p>
    <w:p>
      <w:pPr>
        <w:pStyle w:val="Heading2"/>
      </w:pPr>
      <w:r>
        <w:t>제안 요지</w:t>
      </w:r>
    </w:p>
    <w:p>
      <w:r>
        <w:t>지역 내 고령층 참여자와 초등학생 가정의 짧은 이동·인계 수요를 연결하는 시범사업을 제안한다. 수행기관이 참여자의 적격성 확인, 교육, 배정, 인계 확인 및 사고 대응을 통합 관리하고, 같은 생활권의 여러 요청을 순차적으로 배정하여 참여자의 연속 활동시간을 확보한다.</w:t>
      </w:r>
    </w:p>
    <w:p>
      <w:r>
        <w:t>지방자치단체는 수요조사와 법적 운영구조 검토를 먼저 실시하고, 적법한 참여자 검증과 보험 보장이 확보된 생활권부터 운영한다. 정부·지자체 지원율과 이용자 본인부담금은 시범사업 원가분석을 통해 결정한다.</w:t>
      </w:r>
    </w:p>
    <w:tbl>
      <w:tblPr>
        <w:tblW w:type="auto" w:w="0"/>
        <w:jc w:val="center"/>
        <w:tblLayout w:type="fixed"/>
        <w:tblLook w:firstColumn="1" w:firstRow="1" w:lastColumn="0" w:lastRow="0" w:noHBand="0" w:noVBand="1" w:val="04A0"/>
      </w:tblPr>
      <w:tblGrid>
        <w:gridCol w:w="1584"/>
        <w:gridCol w:w="8568"/>
      </w:tblGrid>
      <w:tr>
        <w:trPr>
          <w:cantSplit/>
          <w:tblHeader/>
        </w:trPr>
        <w:tc>
          <w:tcPr>
            <w:tcW w:type="dxa" w:w="1584"/>
            <w:vAlign w:val="center"/>
            <w:shd w:fill="243E50"/>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color w:val="FFFFFF"/>
                <w:sz w:val="19"/>
              </w:rPr>
              <w:t>구분</w:t>
            </w:r>
          </w:p>
        </w:tc>
        <w:tc>
          <w:tcPr>
            <w:tcW w:type="dxa" w:w="8568"/>
            <w:vAlign w:val="center"/>
            <w:shd w:fill="243E50"/>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color w:val="FFFFFF"/>
                <w:sz w:val="19"/>
              </w:rPr>
              <w:t>제안 내용</w:t>
            </w:r>
          </w:p>
        </w:tc>
      </w:tr>
      <w:tr>
        <w:trPr>
          <w:cantSplit/>
        </w:trPr>
        <w:tc>
          <w:tcPr>
            <w:tcW w:type="dxa" w:w="1584"/>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이용 대상</w:t>
            </w:r>
          </w:p>
        </w:tc>
        <w:tc>
          <w:tcPr>
            <w:tcW w:type="dxa" w:w="8568"/>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단시간 이동·인계 지원이 필요한 초등학생과 양육가정</w:t>
            </w:r>
          </w:p>
        </w:tc>
      </w:tr>
      <w:tr>
        <w:trPr>
          <w:cantSplit/>
        </w:trPr>
        <w:tc>
          <w:tcPr>
            <w:tcW w:type="dxa" w:w="1584"/>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제공 인력</w:t>
            </w:r>
          </w:p>
        </w:tc>
        <w:tc>
          <w:tcPr>
            <w:tcW w:type="dxa" w:w="8568"/>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생활권 내 고령층 중 선발·검증·교육을 마친 참여자</w:t>
            </w:r>
          </w:p>
        </w:tc>
      </w:tr>
      <w:tr>
        <w:trPr>
          <w:cantSplit/>
        </w:trPr>
        <w:tc>
          <w:tcPr>
            <w:tcW w:type="dxa" w:w="1584"/>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서비스</w:t>
            </w:r>
          </w:p>
        </w:tc>
        <w:tc>
          <w:tcPr>
            <w:tcW w:type="dxa" w:w="8568"/>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학교·학원·자택 간 도보 동행, 차량 승하차 지점 인계, 지정 장소의 짧은 대기 보호</w:t>
            </w:r>
          </w:p>
        </w:tc>
      </w:tr>
      <w:tr>
        <w:trPr>
          <w:cantSplit/>
        </w:trPr>
        <w:tc>
          <w:tcPr>
            <w:tcW w:type="dxa" w:w="1584"/>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핵심 방식</w:t>
            </w:r>
          </w:p>
        </w:tc>
        <w:tc>
          <w:tcPr>
            <w:tcW w:type="dxa" w:w="8568"/>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20~60분 내외의 요청을 시간·동선에 맞춰 순차 배정</w:t>
            </w:r>
          </w:p>
        </w:tc>
      </w:tr>
      <w:tr>
        <w:trPr>
          <w:cantSplit/>
        </w:trPr>
        <w:tc>
          <w:tcPr>
            <w:tcW w:type="dxa" w:w="1584"/>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안전 원칙</w:t>
            </w:r>
          </w:p>
        </w:tc>
        <w:tc>
          <w:tcPr>
            <w:tcW w:type="dxa" w:w="8568"/>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초기 1대1 동행, 개인 차량 운송 제외, 지정인 대면 인계</w:t>
            </w:r>
          </w:p>
        </w:tc>
      </w:tr>
      <w:tr>
        <w:trPr>
          <w:cantSplit/>
        </w:trPr>
        <w:tc>
          <w:tcPr>
            <w:tcW w:type="dxa" w:w="1584"/>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재원 방향</w:t>
            </w:r>
          </w:p>
        </w:tc>
        <w:tc>
          <w:tcPr>
            <w:tcW w:type="dxa" w:w="8568"/>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기존 노인일자리 사업과 연계 검토 + 추가 운영비 + 이용자 일부 부담</w:t>
            </w:r>
          </w:p>
        </w:tc>
      </w:tr>
    </w:tbl>
    <w:p>
      <w:pPr>
        <w:spacing w:after="0" w:line="80" w:lineRule="exact" w:before="0"/>
      </w:pPr>
    </w:p>
    <w:p>
      <w:pPr>
        <w:pStyle w:val="Heading2"/>
      </w:pPr>
      <w:r>
        <w:t>문서 구성</w:t>
      </w:r>
    </w:p>
    <w:p>
      <w:r>
        <w:t>1 현황 및 문제점  ·  2 사업모델  ·  3 운영 프로세스</w:t>
        <w:br/>
        <w:t>4 안전장치 및 위험관리  ·  5 예산 구조 및 재원 조달  ·  6 기대효과 및 평가</w:t>
        <w:br/>
        <w:t>부록 검증 및 수정 내역  ·  출처 목록</w:t>
      </w:r>
    </w:p>
    <w:p>
      <w:pPr>
        <w:spacing w:before="80"/>
      </w:pPr>
      <w:r>
        <w:rPr>
          <w:color w:val="555555"/>
          <w:sz w:val="18"/>
        </w:rPr>
        <w:t>본문의 [번호]는 뒤쪽 출처 목록과 연결된다. 통계는 기준시점과 조사대상을 구분하였다. 서비스 시간·배정 방식 등 별도 근거가 없는 운영 수치는 현행 제도가 아닌 본 제안의 설계안이다.</w:t>
      </w:r>
    </w:p>
    <w:p>
      <w:pPr>
        <w:pStyle w:val="Heading1"/>
        <w:pageBreakBefore/>
      </w:pPr>
      <w:r>
        <w:t>1 현황 및 문제점</w:t>
      </w:r>
    </w:p>
    <w:p>
      <w:pPr>
        <w:pStyle w:val="Heading2"/>
      </w:pPr>
      <w:r>
        <w:t>1 가구 여건과 공적 돌봄 이용 현황</w:t>
      </w:r>
    </w:p>
    <w:tbl>
      <w:tblPr>
        <w:tblW w:type="auto" w:w="0"/>
        <w:jc w:val="center"/>
        <w:tblLayout w:type="fixed"/>
        <w:tblLook w:firstColumn="1" w:firstRow="1" w:lastColumn="0" w:lastRow="0" w:noHBand="0" w:noVBand="1" w:val="04A0"/>
      </w:tblPr>
      <w:tblGrid>
        <w:gridCol w:w="1872"/>
        <w:gridCol w:w="3816"/>
        <w:gridCol w:w="4464"/>
      </w:tblGrid>
      <w:tr>
        <w:trPr>
          <w:cantSplit/>
          <w:tblHeader/>
        </w:trPr>
        <w:tc>
          <w:tcPr>
            <w:tcW w:type="dxa" w:w="1872"/>
            <w:vAlign w:val="center"/>
            <w:shd w:fill="243E50"/>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color w:val="FFFFFF"/>
                <w:sz w:val="19"/>
              </w:rPr>
              <w:t>항목</w:t>
            </w:r>
          </w:p>
        </w:tc>
        <w:tc>
          <w:tcPr>
            <w:tcW w:type="dxa" w:w="3816"/>
            <w:vAlign w:val="center"/>
            <w:shd w:fill="243E50"/>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color w:val="FFFFFF"/>
                <w:sz w:val="19"/>
              </w:rPr>
              <w:t>확인한 수치</w:t>
            </w:r>
          </w:p>
        </w:tc>
        <w:tc>
          <w:tcPr>
            <w:tcW w:type="dxa" w:w="4464"/>
            <w:vAlign w:val="center"/>
            <w:shd w:fill="243E50"/>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color w:val="FFFFFF"/>
                <w:sz w:val="19"/>
              </w:rPr>
              <w:t>기준 및 출처</w:t>
            </w:r>
          </w:p>
        </w:tc>
      </w:tr>
      <w:tr>
        <w:trPr>
          <w:cantSplit/>
        </w:trPr>
        <w:tc>
          <w:tcPr>
            <w:tcW w:type="dxa" w:w="1872"/>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유자녀 맞벌이</w:t>
            </w:r>
          </w:p>
        </w:tc>
        <w:tc>
          <w:tcPr>
            <w:tcW w:type="dxa" w:w="3816"/>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228만 7천 가구 · 60.4%</w:t>
              <w:br/>
              <w:t>전년 대비 비중 1.9%p 상승</w:t>
            </w:r>
          </w:p>
        </w:tc>
        <w:tc>
          <w:tcPr>
            <w:tcW w:type="dxa" w:w="4464"/>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2025년 하반기</w:t>
              <w:br/>
              <w:t>18세 미만 자녀가 있는 유배우 가구 [1]</w:t>
            </w:r>
          </w:p>
        </w:tc>
      </w:tr>
      <w:tr>
        <w:trPr>
          <w:cantSplit/>
        </w:trPr>
        <w:tc>
          <w:tcPr>
            <w:tcW w:type="dxa" w:w="1872"/>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학교 돌봄 참여율</w:t>
            </w:r>
          </w:p>
        </w:tc>
        <w:tc>
          <w:tcPr>
            <w:tcW w:type="dxa" w:w="3816"/>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초3 6.0% · 초4 2.2%</w:t>
              <w:br/>
              <w:t>초5 1.0% · 초6 0.8%</w:t>
            </w:r>
          </w:p>
        </w:tc>
        <w:tc>
          <w:tcPr>
            <w:tcW w:type="dxa" w:w="4464"/>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2025년 참여율</w:t>
              <w:br/>
              <w:t>교육부 발표 [2]</w:t>
            </w:r>
          </w:p>
        </w:tc>
      </w:tr>
      <w:tr>
        <w:trPr>
          <w:cantSplit/>
        </w:trPr>
        <w:tc>
          <w:tcPr>
            <w:tcW w:type="dxa" w:w="1872"/>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아이돌봄 이용가구 계</w:t>
            </w:r>
          </w:p>
        </w:tc>
        <w:tc>
          <w:tcPr>
            <w:tcW w:type="dxa" w:w="3816"/>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2023년 86,100가구</w:t>
              <w:br/>
              <w:t>2024년 118,126가구</w:t>
              <w:br/>
              <w:t>2025년 159,804가구</w:t>
            </w:r>
          </w:p>
        </w:tc>
        <w:tc>
          <w:tcPr>
            <w:tcW w:type="dxa" w:w="4464"/>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공식 통계의 시간제·종일제·기타 합계 [3]</w:t>
            </w:r>
          </w:p>
        </w:tc>
      </w:tr>
      <w:tr>
        <w:trPr>
          <w:cantSplit/>
        </w:trPr>
        <w:tc>
          <w:tcPr>
            <w:tcW w:type="dxa" w:w="1872"/>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고령층 장래 근로 희망</w:t>
            </w:r>
          </w:p>
        </w:tc>
        <w:tc>
          <w:tcPr>
            <w:tcW w:type="dxa" w:w="3816"/>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69.2% · 1,178만 2천 명</w:t>
              <w:br/>
              <w:t>희망 근로연령 평균 73.6세</w:t>
            </w:r>
          </w:p>
        </w:tc>
        <w:tc>
          <w:tcPr>
            <w:tcW w:type="dxa" w:w="4464"/>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2026년 5월</w:t>
              <w:br/>
              <w:t>55~79세 조사 [6]</w:t>
            </w:r>
          </w:p>
        </w:tc>
      </w:tr>
    </w:tbl>
    <w:p>
      <w:pPr>
        <w:spacing w:after="0" w:line="80" w:lineRule="exact" w:before="0"/>
      </w:pPr>
    </w:p>
    <w:p>
      <w:r>
        <w:t>18세 미만 자녀가 있는 유배우 가구는 378만 5천 가구이다. 그중 맞벌이 비중은 높아졌지만, 해당 맞벌이 가구 수는 전년보다 1만 7천 가구 줄었다. 따라서 이 사업의 배경은 유자녀 맞벌이 가구의 “수 증가”보다 “높은 맞벌이 비중과 이동 지원 필요성”으로 설명하는 것이 정확하다. [1]</w:t>
      </w:r>
    </w:p>
    <w:p>
      <w:r>
        <w:t>학교 돌봄 참여율은 서비스 이용 현황이며 미충족 돌봄 수요의 비율이 아니다. 교육부도 고학년의 교육활동 선호를 함께 설명하고 있다. 이동·인계 공백의 규모와 지속성은 지역별 수요조사로 확인해야 한다. [2]</w:t>
      </w:r>
    </w:p>
    <w:p>
      <w:pPr>
        <w:pStyle w:val="Heading2"/>
      </w:pPr>
      <w:r>
        <w:t>2 현행 서비스와 제안 사업의 접점</w:t>
      </w:r>
    </w:p>
    <w:p>
      <w:r>
        <w:t>일반 시간제 아이돌봄서비스는 1회 2시간 이상 신청하고 이후 30분 단위로 추가한다. 등·하원도 지원하므로 이동 지원 자체가 새로운 서비스는 아니다. 본 사업은 20~60분 내외의 반복 요청을 같은 생활권에서 순차 배정하는 운영방식에 초점을 둔다. [4]</w:t>
      </w:r>
    </w:p>
    <w:p>
      <w:pPr>
        <w:spacing w:before="80"/>
      </w:pPr>
      <w:r>
        <w:rPr>
          <w:color w:val="555555"/>
          <w:sz w:val="18"/>
        </w:rPr>
        <w:t>공식 홈페이지의 별도 안내에는 1시간 단시간 돌봄이 소개돼 있으나, 통합 서비스 안내와 표기가 일치하지 않는다. 전국 공통 현행 서비스로 단정하지 않고, 대상 지역 제공기관에 운영 여부와 신청 조건을 확인한다. [4][5]</w:t>
      </w:r>
    </w:p>
    <w:p>
      <w:pPr>
        <w:pStyle w:val="Heading2"/>
      </w:pPr>
      <w:r>
        <w:t>3 고령층 참여 기반과 해석의 범위</w:t>
      </w:r>
    </w:p>
    <w:p>
      <w:r>
        <w:t>고령층 조사에서 일자리 선택 시 일의 양과 시간대를 중시한 비율은 남성 24.9%, 여성 37.5%였다. 이는 시간대를 고려한 일자리 설계의 참고 근거이며, 아동 동행 참여 의향을 직접 측정한 결과는 아니다. 조사대상 55~79세와 노인역량활용사업의 참여연령도 구분한다. [6][7]</w:t>
      </w:r>
    </w:p>
    <w:p>
      <w:pPr>
        <w:spacing w:before="80"/>
      </w:pPr>
      <w:r>
        <w:rPr>
          <w:color w:val="555555"/>
          <w:sz w:val="18"/>
        </w:rPr>
        <w:t>아이돌봄 이용가구 계에는 단기서비스·기관연계 등이 포함된다. 합계 전체를 일반 시간제 방문돌봄 이용가구 수 또는 본 사업의 잠재수요로 해석하지 않는다. [3]</w:t>
      </w:r>
    </w:p>
    <w:p>
      <w:pPr>
        <w:pStyle w:val="Heading1"/>
        <w:pageBreakBefore/>
      </w:pPr>
      <w:r>
        <w:t>2 사업모델</w:t>
      </w:r>
    </w:p>
    <w:p>
      <w:pPr>
        <w:pStyle w:val="Heading2"/>
      </w:pPr>
      <w:r>
        <w:t>1 대상과 서비스 범위</w:t>
      </w:r>
    </w:p>
    <w:p>
      <w:r>
        <w:t>동일 아파트 단지 또는 인접 도보 생활권을 우선 대상으로 한다. 이용가정은 맞벌이 여부만으로 제한하지 않고 실제 양육 공백을 확인한다. 초기에는 초등학생의 정기 동행 수요를 중심으로 운영하며, 영유아 또는 추가 지원이 필요한 아동은 적합한 전문서비스와의 연계를 검토한다.</w:t>
      </w:r>
    </w:p>
    <w:tbl>
      <w:tblPr>
        <w:tblW w:type="auto" w:w="0"/>
        <w:jc w:val="center"/>
        <w:tblLayout w:type="fixed"/>
        <w:tblLook w:firstColumn="1" w:firstRow="1" w:lastColumn="0" w:lastRow="0" w:noHBand="0" w:noVBand="1" w:val="04A0"/>
      </w:tblPr>
      <w:tblGrid>
        <w:gridCol w:w="1800"/>
        <w:gridCol w:w="4248"/>
        <w:gridCol w:w="4104"/>
      </w:tblGrid>
      <w:tr>
        <w:trPr>
          <w:cantSplit/>
          <w:tblHeader/>
        </w:trPr>
        <w:tc>
          <w:tcPr>
            <w:tcW w:type="dxa" w:w="1800"/>
            <w:vAlign w:val="center"/>
            <w:shd w:fill="243E50"/>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color w:val="FFFFFF"/>
                <w:sz w:val="19"/>
              </w:rPr>
              <w:t>서비스</w:t>
            </w:r>
          </w:p>
        </w:tc>
        <w:tc>
          <w:tcPr>
            <w:tcW w:type="dxa" w:w="4248"/>
            <w:vAlign w:val="center"/>
            <w:shd w:fill="243E50"/>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color w:val="FFFFFF"/>
                <w:sz w:val="19"/>
              </w:rPr>
              <w:t>제공 범위</w:t>
            </w:r>
          </w:p>
        </w:tc>
        <w:tc>
          <w:tcPr>
            <w:tcW w:type="dxa" w:w="4104"/>
            <w:vAlign w:val="center"/>
            <w:shd w:fill="243E50"/>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color w:val="FFFFFF"/>
                <w:sz w:val="19"/>
              </w:rPr>
              <w:t>운영 조건</w:t>
            </w:r>
          </w:p>
        </w:tc>
      </w:tr>
      <w:tr>
        <w:trPr>
          <w:cantSplit/>
        </w:trPr>
        <w:tc>
          <w:tcPr>
            <w:tcW w:type="dxa" w:w="1800"/>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학교 및 학원 동행</w:t>
            </w:r>
          </w:p>
        </w:tc>
        <w:tc>
          <w:tcPr>
            <w:tcW w:type="dxa" w:w="4248"/>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학교→학원·자택</w:t>
              <w:br/>
              <w:t>학원·돌봄시설→자택</w:t>
            </w:r>
          </w:p>
        </w:tc>
        <w:tc>
          <w:tcPr>
            <w:tcW w:type="dxa" w:w="4104"/>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사전 답사한 도보 경로</w:t>
            </w:r>
          </w:p>
        </w:tc>
      </w:tr>
      <w:tr>
        <w:trPr>
          <w:cantSplit/>
        </w:trPr>
        <w:tc>
          <w:tcPr>
            <w:tcW w:type="dxa" w:w="1800"/>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차량 인계 지원</w:t>
            </w:r>
          </w:p>
        </w:tc>
        <w:tc>
          <w:tcPr>
            <w:tcW w:type="dxa" w:w="4248"/>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통학·학원차량 승하차 지점에서 인수·인계</w:t>
            </w:r>
          </w:p>
        </w:tc>
        <w:tc>
          <w:tcPr>
            <w:tcW w:type="dxa" w:w="4104"/>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차량 운영자와 인계 방식 협의</w:t>
            </w:r>
          </w:p>
        </w:tc>
      </w:tr>
      <w:tr>
        <w:trPr>
          <w:cantSplit/>
        </w:trPr>
        <w:tc>
          <w:tcPr>
            <w:tcW w:type="dxa" w:w="1800"/>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생활시설 이동</w:t>
            </w:r>
          </w:p>
        </w:tc>
        <w:tc>
          <w:tcPr>
            <w:tcW w:type="dxa" w:w="4248"/>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단지 내 도서관·체육시설 등</w:t>
            </w:r>
          </w:p>
        </w:tc>
        <w:tc>
          <w:tcPr>
            <w:tcW w:type="dxa" w:w="4104"/>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사전 승인된 시설과 경로</w:t>
            </w:r>
          </w:p>
        </w:tc>
      </w:tr>
      <w:tr>
        <w:trPr>
          <w:cantSplit/>
        </w:trPr>
        <w:tc>
          <w:tcPr>
            <w:tcW w:type="dxa" w:w="1800"/>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짧은 대기 보호</w:t>
            </w:r>
          </w:p>
        </w:tc>
        <w:tc>
          <w:tcPr>
            <w:tcW w:type="dxa" w:w="4248"/>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보호자 도착 전 지정 장소에서 보호</w:t>
            </w:r>
          </w:p>
        </w:tc>
        <w:tc>
          <w:tcPr>
            <w:tcW w:type="dxa" w:w="4104"/>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관리 가능한 안전 장소 확보</w:t>
            </w:r>
          </w:p>
        </w:tc>
      </w:tr>
      <w:tr>
        <w:trPr>
          <w:cantSplit/>
        </w:trPr>
        <w:tc>
          <w:tcPr>
            <w:tcW w:type="dxa" w:w="1800"/>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제외 업무</w:t>
            </w:r>
          </w:p>
        </w:tc>
        <w:tc>
          <w:tcPr>
            <w:tcW w:type="dxa" w:w="4248"/>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개인 차량 운송, 장시간 보육, 가사·학습지도</w:t>
            </w:r>
          </w:p>
        </w:tc>
        <w:tc>
          <w:tcPr>
            <w:tcW w:type="dxa" w:w="4104"/>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범위를 벗어난 수요는 별도 서비스 안내</w:t>
            </w:r>
          </w:p>
        </w:tc>
      </w:tr>
    </w:tbl>
    <w:p>
      <w:pPr>
        <w:spacing w:after="0" w:line="80" w:lineRule="exact" w:before="0"/>
      </w:pPr>
    </w:p>
    <w:p>
      <w:pPr>
        <w:pStyle w:val="Heading2"/>
      </w:pPr>
      <w:r>
        <w:t>2 생활권 기반 시간과 동선의 순차 배정</w:t>
      </w:r>
    </w:p>
    <w:p>
      <w:r>
        <w:t>가정별 20~60분 내외의 요청을 묶어 참여자에게 연속적인 활동시간을 제공한다. 여러 아동의 동시 보호를 뜻하는 것은 아니며, 초기에는 참여자 1명당 아동 1명의 순차 동행을 원칙으로 한다. 앞선 인계가 완료되지 않으면 다음 서비스를 시작하지 않는다.</w:t>
      </w:r>
    </w:p>
    <w:tbl>
      <w:tblPr>
        <w:tblW w:type="auto" w:w="0"/>
        <w:jc w:val="center"/>
        <w:tblLayout w:type="fixed"/>
        <w:tblLook w:firstColumn="1" w:firstRow="1" w:lastColumn="0" w:lastRow="0" w:noHBand="0" w:noVBand="1" w:val="04A0"/>
      </w:tblPr>
      <w:tblGrid>
        <w:gridCol w:w="1728"/>
        <w:gridCol w:w="5616"/>
        <w:gridCol w:w="2808"/>
      </w:tblGrid>
      <w:tr>
        <w:trPr>
          <w:cantSplit/>
          <w:tblHeader/>
        </w:trPr>
        <w:tc>
          <w:tcPr>
            <w:tcW w:type="dxa" w:w="1728"/>
            <w:vAlign w:val="center"/>
            <w:shd w:fill="243E50"/>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color w:val="FFFFFF"/>
                <w:sz w:val="19"/>
              </w:rPr>
              <w:t>시간</w:t>
            </w:r>
          </w:p>
        </w:tc>
        <w:tc>
          <w:tcPr>
            <w:tcW w:type="dxa" w:w="5616"/>
            <w:vAlign w:val="center"/>
            <w:shd w:fill="243E50"/>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color w:val="FFFFFF"/>
                <w:sz w:val="19"/>
              </w:rPr>
              <w:t>활동 예시</w:t>
            </w:r>
          </w:p>
        </w:tc>
        <w:tc>
          <w:tcPr>
            <w:tcW w:type="dxa" w:w="2808"/>
            <w:vAlign w:val="center"/>
            <w:shd w:fill="243E50"/>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color w:val="FFFFFF"/>
                <w:sz w:val="19"/>
              </w:rPr>
              <w:t>산정 구분</w:t>
            </w:r>
          </w:p>
        </w:tc>
      </w:tr>
      <w:tr>
        <w:trPr>
          <w:cantSplit/>
        </w:trPr>
        <w:tc>
          <w:tcPr>
            <w:tcW w:type="dxa" w:w="1728"/>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15:00~15:30</w:t>
            </w:r>
          </w:p>
        </w:tc>
        <w:tc>
          <w:tcPr>
            <w:tcW w:type="dxa" w:w="5616"/>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A 아동 학교→학원 동행 및 인계</w:t>
            </w:r>
          </w:p>
        </w:tc>
        <w:tc>
          <w:tcPr>
            <w:tcW w:type="dxa" w:w="2808"/>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서비스 30분</w:t>
            </w:r>
          </w:p>
        </w:tc>
      </w:tr>
      <w:tr>
        <w:trPr>
          <w:cantSplit/>
        </w:trPr>
        <w:tc>
          <w:tcPr>
            <w:tcW w:type="dxa" w:w="1728"/>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15:30~15:45</w:t>
            </w:r>
          </w:p>
        </w:tc>
        <w:tc>
          <w:tcPr>
            <w:tcW w:type="dxa" w:w="5616"/>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다음 인수 지점 이동 및 여유시간</w:t>
            </w:r>
          </w:p>
        </w:tc>
        <w:tc>
          <w:tcPr>
            <w:tcW w:type="dxa" w:w="2808"/>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이동·대기 15분</w:t>
            </w:r>
          </w:p>
        </w:tc>
      </w:tr>
      <w:tr>
        <w:trPr>
          <w:cantSplit/>
        </w:trPr>
        <w:tc>
          <w:tcPr>
            <w:tcW w:type="dxa" w:w="1728"/>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15:45~16:10</w:t>
            </w:r>
          </w:p>
        </w:tc>
        <w:tc>
          <w:tcPr>
            <w:tcW w:type="dxa" w:w="5616"/>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B 아동 버스 정류장→자택 동행</w:t>
            </w:r>
          </w:p>
        </w:tc>
        <w:tc>
          <w:tcPr>
            <w:tcW w:type="dxa" w:w="2808"/>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서비스 25분</w:t>
            </w:r>
          </w:p>
        </w:tc>
      </w:tr>
      <w:tr>
        <w:trPr>
          <w:cantSplit/>
        </w:trPr>
        <w:tc>
          <w:tcPr>
            <w:tcW w:type="dxa" w:w="1728"/>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16:10~16:25</w:t>
            </w:r>
          </w:p>
        </w:tc>
        <w:tc>
          <w:tcPr>
            <w:tcW w:type="dxa" w:w="5616"/>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다음 인수 지점 이동 및 여유시간</w:t>
            </w:r>
          </w:p>
        </w:tc>
        <w:tc>
          <w:tcPr>
            <w:tcW w:type="dxa" w:w="2808"/>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이동·대기 15분</w:t>
            </w:r>
          </w:p>
        </w:tc>
      </w:tr>
      <w:tr>
        <w:trPr>
          <w:cantSplit/>
        </w:trPr>
        <w:tc>
          <w:tcPr>
            <w:tcW w:type="dxa" w:w="1728"/>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16:25~17:00</w:t>
            </w:r>
          </w:p>
        </w:tc>
        <w:tc>
          <w:tcPr>
            <w:tcW w:type="dxa" w:w="5616"/>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C 아동 귀가 동행 및 인계</w:t>
            </w:r>
          </w:p>
        </w:tc>
        <w:tc>
          <w:tcPr>
            <w:tcW w:type="dxa" w:w="2808"/>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서비스 35분</w:t>
            </w:r>
          </w:p>
        </w:tc>
      </w:tr>
    </w:tbl>
    <w:p>
      <w:pPr>
        <w:spacing w:after="0" w:line="80" w:lineRule="exact" w:before="0"/>
      </w:pPr>
    </w:p>
    <w:p>
      <w:pPr>
        <w:spacing w:before="80"/>
      </w:pPr>
      <w:r>
        <w:rPr>
          <w:color w:val="555555"/>
          <w:sz w:val="18"/>
        </w:rPr>
        <w:t>설계 예시: 총 120분 = 서비스 90분 + 이동·대기 30분. 실제 배정은 보행속도, 횡단구간, 지연 가능성과 휴식 필요를 반영한다. 이동·대기시간의 임금 산입은 실제 지휘·감독 관계 등 근로조건을 검토하여 정한다.</w:t>
      </w:r>
    </w:p>
    <w:p>
      <w:pPr>
        <w:pStyle w:val="Heading2"/>
      </w:pPr>
      <w:r>
        <w:t>3 기존 사업과의 관계</w:t>
      </w:r>
    </w:p>
    <w:p>
      <w:r>
        <w:t>노인역량활용사업에는 지역아동센터·다함께돌봄시설의 등하교 및 돌봄 지원과 온동네 초등돌봄 지원이 이미 포함돼 있다. 기존 사업과 중복되는 업무를 확인한 뒤, 가정별 짧은 수요를 연속 배정하는 기능을 보완한다. 사업 연계와 재정지원은 담당 부처·지자체의 검토 및 사업 승인에 따르며 자동 적용되는 것은 아니다. [7]</w:t>
      </w:r>
    </w:p>
    <w:p>
      <w:pPr>
        <w:pStyle w:val="Heading1"/>
        <w:pageBreakBefore/>
      </w:pPr>
      <w:r>
        <w:t>3 운영 프로세스</w:t>
      </w:r>
    </w:p>
    <w:p>
      <w:pPr>
        <w:pStyle w:val="Heading2"/>
      </w:pPr>
      <w:r>
        <w:t>1 추진 주체와 책임</w:t>
      </w:r>
    </w:p>
    <w:tbl>
      <w:tblPr>
        <w:tblW w:type="auto" w:w="0"/>
        <w:jc w:val="center"/>
        <w:tblLayout w:type="fixed"/>
        <w:tblLook w:firstColumn="1" w:firstRow="1" w:lastColumn="0" w:lastRow="0" w:noHBand="0" w:noVBand="1" w:val="04A0"/>
      </w:tblPr>
      <w:tblGrid>
        <w:gridCol w:w="2088"/>
        <w:gridCol w:w="8064"/>
      </w:tblGrid>
      <w:tr>
        <w:trPr>
          <w:cantSplit/>
          <w:tblHeader/>
        </w:trPr>
        <w:tc>
          <w:tcPr>
            <w:tcW w:type="dxa" w:w="2088"/>
            <w:vAlign w:val="center"/>
            <w:shd w:fill="243E50"/>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color w:val="FFFFFF"/>
                <w:sz w:val="19"/>
              </w:rPr>
              <w:t>주체</w:t>
            </w:r>
          </w:p>
        </w:tc>
        <w:tc>
          <w:tcPr>
            <w:tcW w:type="dxa" w:w="8064"/>
            <w:vAlign w:val="center"/>
            <w:shd w:fill="243E50"/>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color w:val="FFFFFF"/>
                <w:sz w:val="19"/>
              </w:rPr>
              <w:t>주요 역할</w:t>
            </w:r>
          </w:p>
        </w:tc>
      </w:tr>
      <w:tr>
        <w:trPr>
          <w:cantSplit/>
        </w:trPr>
        <w:tc>
          <w:tcPr>
            <w:tcW w:type="dxa" w:w="2088"/>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지방자치단체</w:t>
            </w:r>
          </w:p>
        </w:tc>
        <w:tc>
          <w:tcPr>
            <w:tcW w:type="dxa" w:w="8064"/>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운영구조·예산 검토, 수행기관 선정, 관계기관 협의, 성과관리</w:t>
            </w:r>
          </w:p>
        </w:tc>
      </w:tr>
      <w:tr>
        <w:trPr>
          <w:cantSplit/>
        </w:trPr>
        <w:tc>
          <w:tcPr>
            <w:tcW w:type="dxa" w:w="2088"/>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수행기관</w:t>
            </w:r>
          </w:p>
        </w:tc>
        <w:tc>
          <w:tcPr>
            <w:tcW w:type="dxa" w:w="8064"/>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모집·적격성 확인·교육, 계약·배정, 인계 기록, 민원·사고 처리</w:t>
            </w:r>
          </w:p>
        </w:tc>
      </w:tr>
      <w:tr>
        <w:trPr>
          <w:cantSplit/>
        </w:trPr>
        <w:tc>
          <w:tcPr>
            <w:tcW w:type="dxa" w:w="2088"/>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학교 및 돌봄기관</w:t>
            </w:r>
          </w:p>
        </w:tc>
        <w:tc>
          <w:tcPr>
            <w:tcW w:type="dxa" w:w="8064"/>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출입·인계 장소 협의, 담당자 지정, 수요 안내 및 기존 서비스 연계</w:t>
            </w:r>
          </w:p>
        </w:tc>
      </w:tr>
      <w:tr>
        <w:trPr>
          <w:cantSplit/>
        </w:trPr>
        <w:tc>
          <w:tcPr>
            <w:tcW w:type="dxa" w:w="2088"/>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아파트 관리주체</w:t>
            </w:r>
          </w:p>
        </w:tc>
        <w:tc>
          <w:tcPr>
            <w:tcW w:type="dxa" w:w="8064"/>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주민 안내, 안전한 대기 장소·동선 협의</w:t>
            </w:r>
          </w:p>
        </w:tc>
      </w:tr>
      <w:tr>
        <w:trPr>
          <w:cantSplit/>
        </w:trPr>
        <w:tc>
          <w:tcPr>
            <w:tcW w:type="dxa" w:w="2088"/>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참여자 및 이용가정</w:t>
            </w:r>
          </w:p>
        </w:tc>
        <w:tc>
          <w:tcPr>
            <w:tcW w:type="dxa" w:w="8064"/>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정해진 업무·인계 절차 준수, 일정 변경과 특이사항 사전 통보</w:t>
            </w:r>
          </w:p>
        </w:tc>
      </w:tr>
    </w:tbl>
    <w:p>
      <w:pPr>
        <w:spacing w:after="0" w:line="80" w:lineRule="exact" w:before="0"/>
      </w:pPr>
    </w:p>
    <w:p>
      <w:pPr>
        <w:pStyle w:val="Heading2"/>
      </w:pPr>
      <w:r>
        <w:t>2 단계별 운영</w:t>
      </w:r>
    </w:p>
    <w:tbl>
      <w:tblPr>
        <w:tblW w:type="auto" w:w="0"/>
        <w:jc w:val="center"/>
        <w:tblLayout w:type="fixed"/>
        <w:tblLook w:firstColumn="1" w:firstRow="1" w:lastColumn="0" w:lastRow="0" w:noHBand="0" w:noVBand="1" w:val="04A0"/>
      </w:tblPr>
      <w:tblGrid>
        <w:gridCol w:w="1800"/>
        <w:gridCol w:w="5688"/>
        <w:gridCol w:w="2664"/>
      </w:tblGrid>
      <w:tr>
        <w:trPr>
          <w:cantSplit/>
          <w:tblHeader/>
        </w:trPr>
        <w:tc>
          <w:tcPr>
            <w:tcW w:type="dxa" w:w="1800"/>
            <w:vAlign w:val="center"/>
            <w:shd w:fill="243E50"/>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color w:val="FFFFFF"/>
                <w:sz w:val="19"/>
              </w:rPr>
              <w:t>단계</w:t>
            </w:r>
          </w:p>
        </w:tc>
        <w:tc>
          <w:tcPr>
            <w:tcW w:type="dxa" w:w="5688"/>
            <w:vAlign w:val="center"/>
            <w:shd w:fill="243E50"/>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color w:val="FFFFFF"/>
                <w:sz w:val="19"/>
              </w:rPr>
              <w:t>주요 업무</w:t>
            </w:r>
          </w:p>
        </w:tc>
        <w:tc>
          <w:tcPr>
            <w:tcW w:type="dxa" w:w="2664"/>
            <w:vAlign w:val="center"/>
            <w:shd w:fill="243E50"/>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color w:val="FFFFFF"/>
                <w:sz w:val="19"/>
              </w:rPr>
              <w:t>확인 자료</w:t>
            </w:r>
          </w:p>
        </w:tc>
      </w:tr>
      <w:tr>
        <w:trPr>
          <w:cantSplit/>
        </w:trPr>
        <w:tc>
          <w:tcPr>
            <w:tcW w:type="dxa" w:w="1800"/>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① 수요조사</w:t>
            </w:r>
          </w:p>
        </w:tc>
        <w:tc>
          <w:tcPr>
            <w:tcW w:type="dxa" w:w="5688"/>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요일·시간·경로·빈도·기존 이용서비스와 지불가능성 조사</w:t>
            </w:r>
          </w:p>
        </w:tc>
        <w:tc>
          <w:tcPr>
            <w:tcW w:type="dxa" w:w="2664"/>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생활권별 수요·공급표</w:t>
            </w:r>
          </w:p>
        </w:tc>
      </w:tr>
      <w:tr>
        <w:trPr>
          <w:cantSplit/>
        </w:trPr>
        <w:tc>
          <w:tcPr>
            <w:tcW w:type="dxa" w:w="1800"/>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② 운영 기반 확보</w:t>
            </w:r>
          </w:p>
        </w:tc>
        <w:tc>
          <w:tcPr>
            <w:tcW w:type="dxa" w:w="5688"/>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법적 지위, 검증 권한, 보험, 예산 및 계약 검토</w:t>
            </w:r>
          </w:p>
        </w:tc>
        <w:tc>
          <w:tcPr>
            <w:tcW w:type="dxa" w:w="2664"/>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운영계획·보험조건</w:t>
            </w:r>
          </w:p>
        </w:tc>
      </w:tr>
      <w:tr>
        <w:trPr>
          <w:cantSplit/>
        </w:trPr>
        <w:tc>
          <w:tcPr>
            <w:tcW w:type="dxa" w:w="1800"/>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③ 모집 및 선발</w:t>
            </w:r>
          </w:p>
        </w:tc>
        <w:tc>
          <w:tcPr>
            <w:tcW w:type="dxa" w:w="5688"/>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활동 가능시간, 보행능력, 면접·적격성 확인</w:t>
            </w:r>
          </w:p>
        </w:tc>
        <w:tc>
          <w:tcPr>
            <w:tcW w:type="dxa" w:w="2664"/>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선발 및 검증 기록</w:t>
            </w:r>
          </w:p>
        </w:tc>
      </w:tr>
      <w:tr>
        <w:trPr>
          <w:cantSplit/>
        </w:trPr>
        <w:tc>
          <w:tcPr>
            <w:tcW w:type="dxa" w:w="1800"/>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④ 교육 및 등록</w:t>
            </w:r>
          </w:p>
        </w:tc>
        <w:tc>
          <w:tcPr>
            <w:tcW w:type="dxa" w:w="5688"/>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아동안전·응급처치·인계 실습, 이수 확인</w:t>
            </w:r>
          </w:p>
        </w:tc>
        <w:tc>
          <w:tcPr>
            <w:tcW w:type="dxa" w:w="2664"/>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교육 기록·활동증</w:t>
            </w:r>
          </w:p>
        </w:tc>
      </w:tr>
      <w:tr>
        <w:trPr>
          <w:cantSplit/>
        </w:trPr>
        <w:tc>
          <w:tcPr>
            <w:tcW w:type="dxa" w:w="1800"/>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⑤ 신청 및 매칭</w:t>
            </w:r>
          </w:p>
        </w:tc>
        <w:tc>
          <w:tcPr>
            <w:tcW w:type="dxa" w:w="5688"/>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보호자 동의, 지정 인계자 등록, 동선 답사·배정</w:t>
            </w:r>
          </w:p>
        </w:tc>
        <w:tc>
          <w:tcPr>
            <w:tcW w:type="dxa" w:w="2664"/>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이용계약·배정표</w:t>
            </w:r>
          </w:p>
        </w:tc>
      </w:tr>
      <w:tr>
        <w:trPr>
          <w:cantSplit/>
        </w:trPr>
        <w:tc>
          <w:tcPr>
            <w:tcW w:type="dxa" w:w="1800"/>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⑥ 서비스 제공</w:t>
            </w:r>
          </w:p>
        </w:tc>
        <w:tc>
          <w:tcPr>
            <w:tcW w:type="dxa" w:w="5688"/>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인수 확인→도보 동행→지정인 대면 인계</w:t>
            </w:r>
          </w:p>
        </w:tc>
        <w:tc>
          <w:tcPr>
            <w:tcW w:type="dxa" w:w="2664"/>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시작·인계 확인 기록</w:t>
            </w:r>
          </w:p>
        </w:tc>
      </w:tr>
      <w:tr>
        <w:trPr>
          <w:cantSplit/>
        </w:trPr>
        <w:tc>
          <w:tcPr>
            <w:tcW w:type="dxa" w:w="1800"/>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⑦ 사후관리</w:t>
            </w:r>
          </w:p>
        </w:tc>
        <w:tc>
          <w:tcPr>
            <w:tcW w:type="dxa" w:w="5688"/>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취소·지각·민원·사고 기록, 재교육·배정 조정</w:t>
            </w:r>
          </w:p>
        </w:tc>
        <w:tc>
          <w:tcPr>
            <w:tcW w:type="dxa" w:w="2664"/>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월별 운영·원가 보고</w:t>
            </w:r>
          </w:p>
        </w:tc>
      </w:tr>
    </w:tbl>
    <w:p>
      <w:pPr>
        <w:spacing w:after="0" w:line="80" w:lineRule="exact" w:before="0"/>
      </w:pPr>
    </w:p>
    <w:p>
      <w:pPr>
        <w:pStyle w:val="Heading2"/>
      </w:pPr>
      <w:r>
        <w:t>3 결원과 지연에 대한 운영 원칙</w:t>
      </w:r>
    </w:p>
    <w:p>
      <w:r>
        <w:t>수행기관은 서비스 시간대에 연락 가능한 담당자와 대체 인력을 확보한다. 결원·기상 악화·인계 지연이 발생하면 보호자에게 즉시 알리고 재배정 또는 취소·환불 절차를 안내한다. 다음 일정에 맞추기 위해 아동을 혼자 두거나 확인 없이 인계하지 않는다.</w:t>
      </w:r>
    </w:p>
    <w:p>
      <w:r>
        <w:t>사업 시작 전 학교·학원·차량 운영자와 인수 권한과 출입 절차를 합의한다. 가족의 서비스 신청만으로 기관의 출입·인계 협조가 확보된 것으로 보지 않는다.</w:t>
      </w:r>
    </w:p>
    <w:p>
      <w:pPr>
        <w:pStyle w:val="Heading1"/>
        <w:pageBreakBefore/>
      </w:pPr>
      <w:r>
        <w:t>4 안전장치 및 위험관리</w:t>
      </w:r>
    </w:p>
    <w:p>
      <w:pPr>
        <w:pStyle w:val="Heading2"/>
      </w:pPr>
      <w:r>
        <w:t>1 적법한 참여자 검증을 운영의 전제로 설정</w:t>
      </w:r>
    </w:p>
    <w:p>
      <w:r>
        <w:t>「아동복지법」 제29조의3제5항과 「아동·청소년의 성보호에 관한 법률」의 조회 체계를 참고하여 아동학대·성범죄 취업제한 여부를 확인하는 구조를 마련한다. 시니어클럽이나 복지관이 사업을 맡거나 본인의 동의를 받았다는 사정만으로 조회 권한이 생기는 것은 아니다. [9][10]</w:t>
      </w:r>
    </w:p>
    <w:p>
      <w:r>
        <w:t>아동 관련기관과 연계할 때도 참여자가 법정 조회대상에 해당하는 실질적인 취업·노무 제공 관계인지 확인해야 한다. 단순 협약이나 명의 대여를 통한 조회는 대안으로 삼지 않는다. 적용 근거가 확보되지 않으면 아동을 단독 대면하는 서비스 개시를 보류하고 제도 보완을 검토한다. 아이돌봄사의 법정 결격사유는 참고 기준이며 본 사업 참여자에게 자동 적용되지 않는다. [9][10][11]</w:t>
      </w:r>
    </w:p>
    <w:tbl>
      <w:tblPr>
        <w:tblW w:type="auto" w:w="0"/>
        <w:jc w:val="center"/>
        <w:tblLayout w:type="fixed"/>
        <w:tblLook w:firstColumn="1" w:firstRow="1" w:lastColumn="0" w:lastRow="0" w:noHBand="0" w:noVBand="1" w:val="04A0"/>
      </w:tblPr>
      <w:tblGrid>
        <w:gridCol w:w="1728"/>
        <w:gridCol w:w="8424"/>
      </w:tblGrid>
      <w:tr>
        <w:trPr>
          <w:cantSplit/>
          <w:tblHeader/>
        </w:trPr>
        <w:tc>
          <w:tcPr>
            <w:tcW w:type="dxa" w:w="1728"/>
            <w:vAlign w:val="center"/>
            <w:shd w:fill="243E50"/>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color w:val="FFFFFF"/>
                <w:sz w:val="19"/>
              </w:rPr>
              <w:t>관리 영역</w:t>
            </w:r>
          </w:p>
        </w:tc>
        <w:tc>
          <w:tcPr>
            <w:tcW w:type="dxa" w:w="8424"/>
            <w:vAlign w:val="center"/>
            <w:shd w:fill="243E50"/>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color w:val="FFFFFF"/>
                <w:sz w:val="19"/>
              </w:rPr>
              <w:t>제안하는 기준</w:t>
            </w:r>
          </w:p>
        </w:tc>
      </w:tr>
      <w:tr>
        <w:trPr>
          <w:cantSplit/>
        </w:trPr>
        <w:tc>
          <w:tcPr>
            <w:tcW w:type="dxa" w:w="1728"/>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교육과 활동증</w:t>
            </w:r>
          </w:p>
        </w:tc>
        <w:tc>
          <w:tcPr>
            <w:tcW w:type="dxa" w:w="8424"/>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아동 인권·학대 예방, 응급처치, 교통안전, 인계 실습, 개인정보 교육 후 등록. 활동증은 기관 등록증이며 국가자격증이 아님</w:t>
            </w:r>
          </w:p>
        </w:tc>
      </w:tr>
      <w:tr>
        <w:trPr>
          <w:cantSplit/>
        </w:trPr>
        <w:tc>
          <w:tcPr>
            <w:tcW w:type="dxa" w:w="1728"/>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인수와 인계</w:t>
            </w:r>
          </w:p>
        </w:tc>
        <w:tc>
          <w:tcPr>
            <w:tcW w:type="dxa" w:w="8424"/>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지정인 신원 확인, 시작·종료 알림, 변경 시 보호자 승인. 목적지 도착만으로 종료하지 않음</w:t>
            </w:r>
          </w:p>
        </w:tc>
      </w:tr>
      <w:tr>
        <w:trPr>
          <w:cantSplit/>
        </w:trPr>
        <w:tc>
          <w:tcPr>
            <w:tcW w:type="dxa" w:w="1728"/>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업무 제한</w:t>
            </w:r>
          </w:p>
        </w:tc>
        <w:tc>
          <w:tcPr>
            <w:tcW w:type="dxa" w:w="8424"/>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개인 차량 운송·무단 경로 변경·사적 연락 금지. 초기 1대1 동행</w:t>
            </w:r>
          </w:p>
        </w:tc>
      </w:tr>
      <w:tr>
        <w:trPr>
          <w:cantSplit/>
        </w:trPr>
        <w:tc>
          <w:tcPr>
            <w:tcW w:type="dxa" w:w="1728"/>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현장 안전</w:t>
            </w:r>
          </w:p>
        </w:tc>
        <w:tc>
          <w:tcPr>
            <w:tcW w:type="dxa" w:w="8424"/>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보행경로 위험 확인, 악천후 중단 기준, 참여자 건강·피로 상태 확인</w:t>
            </w:r>
          </w:p>
        </w:tc>
      </w:tr>
      <w:tr>
        <w:trPr>
          <w:cantSplit/>
        </w:trPr>
        <w:tc>
          <w:tcPr>
            <w:tcW w:type="dxa" w:w="1728"/>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보험과 보상</w:t>
            </w:r>
          </w:p>
        </w:tc>
        <w:tc>
          <w:tcPr>
            <w:tcW w:type="dxa" w:w="8424"/>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아동의 상해·배상책임 보장과 참여자의 상해·산재 적용 검토. 보장 대상·장소·시간·면책·한도 확인</w:t>
            </w:r>
          </w:p>
        </w:tc>
      </w:tr>
      <w:tr>
        <w:trPr>
          <w:cantSplit/>
        </w:trPr>
        <w:tc>
          <w:tcPr>
            <w:tcW w:type="dxa" w:w="1728"/>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개인정보</w:t>
            </w:r>
          </w:p>
        </w:tc>
        <w:tc>
          <w:tcPr>
            <w:tcW w:type="dxa" w:w="8424"/>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필요한 연락처·인계 정보만 수집, 접근권한·보유기간·파기 기준 마련. 아동 정보와 위치정보의 동의·처리 근거 별도 확인</w:t>
            </w:r>
          </w:p>
        </w:tc>
      </w:tr>
      <w:tr>
        <w:trPr>
          <w:cantSplit/>
        </w:trPr>
        <w:tc>
          <w:tcPr>
            <w:tcW w:type="dxa" w:w="1728"/>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민원과 이상행동</w:t>
            </w:r>
          </w:p>
        </w:tc>
        <w:tc>
          <w:tcPr>
            <w:tcW w:type="dxa" w:w="8424"/>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위반사항 기록, 사안별 재교육·활동중단·배제. 학대·범죄 의심 시 아동 안전 확보와 관계기관 신고 우선</w:t>
            </w:r>
          </w:p>
        </w:tc>
      </w:tr>
    </w:tbl>
    <w:p>
      <w:pPr>
        <w:spacing w:after="0" w:line="80" w:lineRule="exact" w:before="0"/>
      </w:pPr>
    </w:p>
    <w:p>
      <w:pPr>
        <w:pStyle w:val="Heading2"/>
      </w:pPr>
      <w:r>
        <w:t>2 사고 대응과 책임 범위</w:t>
      </w:r>
    </w:p>
    <w:p>
      <w:r>
        <w:t>사고 발생 시 현장 안전 확보와 필요한 112·119 신고를 우선하고, 보호자 통보와 수행기관 보고를 병행한다. 수행기관은 치료·보험 접수·사고기록·원인조사·재발방지의 창구를 맡는다. 행정 보고 때문에 응급조치를 지연하지 않는다.</w:t>
      </w:r>
    </w:p>
    <w:p>
      <w:pPr>
        <w:spacing w:before="80"/>
      </w:pPr>
      <w:r>
        <w:rPr>
          <w:color w:val="555555"/>
          <w:sz w:val="18"/>
        </w:rPr>
        <w:t>노인일자리법 시행규칙 제13조는 안전 전담인력, 상해보험 또는 산재보험 등 보상체계와 사전 안전조치를 규정한다. 이를 참고하되 적용 사업유형을 확인한다. 공공 관리와 보험 가입이 참여자의 모든 민·형사책임을 면제하는 것은 아니다. [12]</w:t>
      </w:r>
    </w:p>
    <w:p>
      <w:pPr>
        <w:pStyle w:val="Heading1"/>
        <w:pageBreakBefore/>
      </w:pPr>
      <w:r>
        <w:t>5 예산 구조 및 재원 조달</w:t>
      </w:r>
    </w:p>
    <w:p>
      <w:pPr>
        <w:pStyle w:val="Heading2"/>
      </w:pPr>
      <w:r>
        <w:t>1 현행 아이돌봄서비스의 분담구조를 참고</w:t>
      </w:r>
    </w:p>
    <w:p>
      <w:r>
        <w:t>2026년 시간제 기본형의 평일 주간 요금은 시간당 12,790원이다. 아래는 취학아동 B형의 일반 지원구조이며, 추가 지원·할인 전 기준이다. 본 사업의 요금이나 지원율로 그대로 적용하지 않는다. [4][8]</w:t>
      </w:r>
    </w:p>
    <w:tbl>
      <w:tblPr>
        <w:tblW w:type="auto" w:w="0"/>
        <w:jc w:val="center"/>
        <w:tblLayout w:type="fixed"/>
        <w:tblLook w:firstColumn="1" w:firstRow="1" w:lastColumn="0" w:lastRow="0" w:noHBand="0" w:noVBand="1" w:val="04A0"/>
      </w:tblPr>
      <w:tblGrid>
        <w:gridCol w:w="5256"/>
        <w:gridCol w:w="2448"/>
        <w:gridCol w:w="2448"/>
      </w:tblGrid>
      <w:tr>
        <w:trPr>
          <w:cantSplit/>
          <w:tblHeader/>
        </w:trPr>
        <w:tc>
          <w:tcPr>
            <w:tcW w:type="dxa" w:w="5256"/>
            <w:vAlign w:val="center"/>
            <w:shd w:fill="243E50"/>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color w:val="FFFFFF"/>
                <w:sz w:val="19"/>
              </w:rPr>
              <w:t>기준 중위소득 구간</w:t>
            </w:r>
          </w:p>
        </w:tc>
        <w:tc>
          <w:tcPr>
            <w:tcW w:type="dxa" w:w="2448"/>
            <w:vAlign w:val="center"/>
            <w:shd w:fill="243E50"/>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color w:val="FFFFFF"/>
                <w:sz w:val="19"/>
              </w:rPr>
              <w:t>정부지원율</w:t>
            </w:r>
          </w:p>
        </w:tc>
        <w:tc>
          <w:tcPr>
            <w:tcW w:type="dxa" w:w="2448"/>
            <w:vAlign w:val="center"/>
            <w:shd w:fill="243E50"/>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color w:val="FFFFFF"/>
                <w:sz w:val="19"/>
              </w:rPr>
              <w:t>본인부담 비율</w:t>
            </w:r>
          </w:p>
        </w:tc>
      </w:tr>
      <w:tr>
        <w:trPr>
          <w:cantSplit/>
        </w:trPr>
        <w:tc>
          <w:tcPr>
            <w:tcW w:type="dxa" w:w="5256"/>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75% 이하</w:t>
            </w:r>
          </w:p>
        </w:tc>
        <w:tc>
          <w:tcPr>
            <w:tcW w:type="dxa" w:w="2448"/>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80%</w:t>
            </w:r>
          </w:p>
        </w:tc>
        <w:tc>
          <w:tcPr>
            <w:tcW w:type="dxa" w:w="2448"/>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20%</w:t>
            </w:r>
          </w:p>
        </w:tc>
      </w:tr>
      <w:tr>
        <w:trPr>
          <w:cantSplit/>
        </w:trPr>
        <w:tc>
          <w:tcPr>
            <w:tcW w:type="dxa" w:w="5256"/>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75% 초과~120% 이하</w:t>
            </w:r>
          </w:p>
        </w:tc>
        <w:tc>
          <w:tcPr>
            <w:tcW w:type="dxa" w:w="2448"/>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50%</w:t>
            </w:r>
          </w:p>
        </w:tc>
        <w:tc>
          <w:tcPr>
            <w:tcW w:type="dxa" w:w="2448"/>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50%</w:t>
            </w:r>
          </w:p>
        </w:tc>
      </w:tr>
      <w:tr>
        <w:trPr>
          <w:cantSplit/>
        </w:trPr>
        <w:tc>
          <w:tcPr>
            <w:tcW w:type="dxa" w:w="5256"/>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120% 초과~150% 이하</w:t>
            </w:r>
          </w:p>
        </w:tc>
        <w:tc>
          <w:tcPr>
            <w:tcW w:type="dxa" w:w="2448"/>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25%</w:t>
            </w:r>
          </w:p>
        </w:tc>
        <w:tc>
          <w:tcPr>
            <w:tcW w:type="dxa" w:w="2448"/>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75%</w:t>
            </w:r>
          </w:p>
        </w:tc>
      </w:tr>
      <w:tr>
        <w:trPr>
          <w:cantSplit/>
        </w:trPr>
        <w:tc>
          <w:tcPr>
            <w:tcW w:type="dxa" w:w="5256"/>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150% 초과~250% 이하</w:t>
            </w:r>
          </w:p>
        </w:tc>
        <w:tc>
          <w:tcPr>
            <w:tcW w:type="dxa" w:w="2448"/>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10%</w:t>
            </w:r>
          </w:p>
        </w:tc>
        <w:tc>
          <w:tcPr>
            <w:tcW w:type="dxa" w:w="2448"/>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90%</w:t>
            </w:r>
          </w:p>
        </w:tc>
      </w:tr>
      <w:tr>
        <w:trPr>
          <w:cantSplit/>
        </w:trPr>
        <w:tc>
          <w:tcPr>
            <w:tcW w:type="dxa" w:w="5256"/>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250% 초과</w:t>
            </w:r>
          </w:p>
        </w:tc>
        <w:tc>
          <w:tcPr>
            <w:tcW w:type="dxa" w:w="2448"/>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없음</w:t>
            </w:r>
          </w:p>
        </w:tc>
        <w:tc>
          <w:tcPr>
            <w:tcW w:type="dxa" w:w="2448"/>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100%</w:t>
            </w:r>
          </w:p>
        </w:tc>
      </w:tr>
    </w:tbl>
    <w:p>
      <w:pPr>
        <w:spacing w:after="0" w:line="80" w:lineRule="exact" w:before="0"/>
      </w:pPr>
    </w:p>
    <w:p>
      <w:pPr>
        <w:spacing w:before="80"/>
      </w:pPr>
      <w:r>
        <w:rPr>
          <w:color w:val="555555"/>
          <w:sz w:val="18"/>
        </w:rPr>
        <w:t>2026년 B형은 2018년 12월 31일 이전 출생 아동이다. 실제 지원에는 연령·양육 공백 등 요건이 적용된다. 고시의 원 단위 지원액은 반올림 등으로 단순 비율 계산액과 차이가 있으므로 실제 청구에는 공식 요금표를 적용한다. [8]</w:t>
      </w:r>
    </w:p>
    <w:p>
      <w:pPr>
        <w:pStyle w:val="Heading2"/>
      </w:pPr>
      <w:r>
        <w:t>2 기존 노인역량활용사업의 예산 참고값</w:t>
      </w:r>
    </w:p>
    <w:tbl>
      <w:tblPr>
        <w:tblW w:type="auto" w:w="0"/>
        <w:jc w:val="center"/>
        <w:tblLayout w:type="fixed"/>
        <w:tblLook w:firstColumn="1" w:firstRow="1" w:lastColumn="0" w:lastRow="0" w:noHBand="0" w:noVBand="1" w:val="04A0"/>
      </w:tblPr>
      <w:tblGrid>
        <w:gridCol w:w="2016"/>
        <w:gridCol w:w="2448"/>
        <w:gridCol w:w="5688"/>
      </w:tblGrid>
      <w:tr>
        <w:trPr>
          <w:cantSplit/>
          <w:tblHeader/>
        </w:trPr>
        <w:tc>
          <w:tcPr>
            <w:tcW w:type="dxa" w:w="2016"/>
            <w:vAlign w:val="center"/>
            <w:shd w:fill="243E50"/>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color w:val="FFFFFF"/>
                <w:sz w:val="19"/>
              </w:rPr>
              <w:t>항목</w:t>
            </w:r>
          </w:p>
        </w:tc>
        <w:tc>
          <w:tcPr>
            <w:tcW w:type="dxa" w:w="2448"/>
            <w:vAlign w:val="center"/>
            <w:shd w:fill="243E50"/>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color w:val="FFFFFF"/>
                <w:sz w:val="19"/>
              </w:rPr>
              <w:t>공식 안내값</w:t>
            </w:r>
          </w:p>
        </w:tc>
        <w:tc>
          <w:tcPr>
            <w:tcW w:type="dxa" w:w="5688"/>
            <w:vAlign w:val="center"/>
            <w:shd w:fill="243E50"/>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color w:val="FFFFFF"/>
                <w:sz w:val="19"/>
              </w:rPr>
              <w:t>유의사항</w:t>
            </w:r>
          </w:p>
        </w:tc>
      </w:tr>
      <w:tr>
        <w:trPr>
          <w:cantSplit/>
        </w:trPr>
        <w:tc>
          <w:tcPr>
            <w:tcW w:type="dxa" w:w="2016"/>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참여기간</w:t>
            </w:r>
          </w:p>
        </w:tc>
        <w:tc>
          <w:tcPr>
            <w:tcW w:type="dxa" w:w="2448"/>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10개월</w:t>
            </w:r>
          </w:p>
        </w:tc>
        <w:tc>
          <w:tcPr>
            <w:tcW w:type="dxa" w:w="5688"/>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본 사업의 연중 운영기간과 별도 검토</w:t>
            </w:r>
          </w:p>
        </w:tc>
      </w:tr>
      <w:tr>
        <w:trPr>
          <w:cantSplit/>
        </w:trPr>
        <w:tc>
          <w:tcPr>
            <w:tcW w:type="dxa" w:w="2016"/>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월 활동비</w:t>
            </w:r>
          </w:p>
        </w:tc>
        <w:tc>
          <w:tcPr>
            <w:tcW w:type="dxa" w:w="2448"/>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634,000원</w:t>
            </w:r>
          </w:p>
        </w:tc>
        <w:tc>
          <w:tcPr>
            <w:tcW w:type="dxa" w:w="5688"/>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주휴·연차수당 별도</w:t>
            </w:r>
          </w:p>
        </w:tc>
      </w:tr>
      <w:tr>
        <w:trPr>
          <w:cantSplit/>
        </w:trPr>
        <w:tc>
          <w:tcPr>
            <w:tcW w:type="dxa" w:w="2016"/>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연간 부대경비</w:t>
            </w:r>
          </w:p>
        </w:tc>
        <w:tc>
          <w:tcPr>
            <w:tcW w:type="dxa" w:w="2448"/>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2,124,000원</w:t>
            </w:r>
          </w:p>
        </w:tc>
        <w:tc>
          <w:tcPr>
            <w:tcW w:type="dxa" w:w="5688"/>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주휴·연차수당 1,585,500원 포함</w:t>
            </w:r>
          </w:p>
        </w:tc>
      </w:tr>
      <w:tr>
        <w:trPr>
          <w:cantSplit/>
        </w:trPr>
        <w:tc>
          <w:tcPr>
            <w:tcW w:type="dxa" w:w="2016"/>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1인당 합계</w:t>
            </w:r>
          </w:p>
        </w:tc>
        <w:tc>
          <w:tcPr>
            <w:tcW w:type="dxa" w:w="2448"/>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8,464,000원</w:t>
            </w:r>
          </w:p>
        </w:tc>
        <w:tc>
          <w:tcPr>
            <w:tcW w:type="dxa" w:w="5688"/>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634,000원×10개월 + 2,124,000원</w:t>
            </w:r>
          </w:p>
        </w:tc>
      </w:tr>
    </w:tbl>
    <w:p>
      <w:pPr>
        <w:spacing w:after="0" w:line="80" w:lineRule="exact" w:before="0"/>
      </w:pPr>
    </w:p>
    <w:p>
      <w:pPr>
        <w:spacing w:before="80"/>
      </w:pPr>
      <w:r>
        <w:rPr>
          <w:color w:val="555555"/>
          <w:sz w:val="18"/>
        </w:rPr>
        <w:t>출처: 한국노인인력개발원 현행 사업 안내, 2026. 9. 29. 확인. 페이지에 별도 기준연도 표시는 없어 “2026년 지침상 확정 단가”로 단정하지 않는다. 사업 승인 시 해당 연도 지침과 대조하고, 부대경비에 포함된 수당을 중복 계상하지 않는다. [7]</w:t>
      </w:r>
    </w:p>
    <w:p>
      <w:pPr>
        <w:pStyle w:val="Heading2"/>
      </w:pPr>
      <w:r>
        <w:t>3 재원 조달 원칙</w:t>
      </w:r>
    </w:p>
    <w:p>
      <w:r>
        <w:t>기존 노인일자리 사업과의 연계를 우선 검토하되, 국비 지원이 확정된 것으로 전제하지 않는다. 지자체는 사업유형 인정 여부, 보조금 사용범위, 이용료 수입의 처리 방식, 근로조건과 중복 지원 여부를 확인한 뒤 예산을 편성한다.</w:t>
      </w:r>
    </w:p>
    <w:p>
      <w:r>
        <w:t>가정에는 실제 이용서비스의 일부 비용을 부담하도록 하고 저소득·한부모·다자녀 등 우선지원 가구의 경감을 검토한다. 적정 정부·지자체 지원율 및 이용자 본인부담금은 시범사업의 원가, 이용률, 지불가능성과 지속가능성을 종합하여 결정한다.</w:t>
      </w:r>
    </w:p>
    <w:p>
      <w:pPr>
        <w:pStyle w:val="Heading1"/>
        <w:pageBreakBefore/>
      </w:pPr>
      <w:r>
        <w:t>5 예산 편성과 원가분석</w:t>
      </w:r>
    </w:p>
    <w:p>
      <w:pPr>
        <w:pStyle w:val="Heading2"/>
      </w:pPr>
      <w:r>
        <w:t>4 비용과 수입을 구분한 예산 편성</w:t>
      </w:r>
    </w:p>
    <w:tbl>
      <w:tblPr>
        <w:tblW w:type="auto" w:w="0"/>
        <w:jc w:val="center"/>
        <w:tblLayout w:type="fixed"/>
        <w:tblLook w:firstColumn="1" w:firstRow="1" w:lastColumn="0" w:lastRow="0" w:noHBand="0" w:noVBand="1" w:val="04A0"/>
      </w:tblPr>
      <w:tblGrid>
        <w:gridCol w:w="1944"/>
        <w:gridCol w:w="4536"/>
        <w:gridCol w:w="3672"/>
      </w:tblGrid>
      <w:tr>
        <w:trPr>
          <w:cantSplit/>
          <w:tblHeader/>
        </w:trPr>
        <w:tc>
          <w:tcPr>
            <w:tcW w:type="dxa" w:w="1944"/>
            <w:vAlign w:val="center"/>
            <w:shd w:fill="243E50"/>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color w:val="FFFFFF"/>
                <w:sz w:val="19"/>
              </w:rPr>
              <w:t>비용 항목</w:t>
            </w:r>
          </w:p>
        </w:tc>
        <w:tc>
          <w:tcPr>
            <w:tcW w:type="dxa" w:w="4536"/>
            <w:vAlign w:val="center"/>
            <w:shd w:fill="243E50"/>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color w:val="FFFFFF"/>
                <w:sz w:val="19"/>
              </w:rPr>
              <w:t>산정 내용</w:t>
            </w:r>
          </w:p>
        </w:tc>
        <w:tc>
          <w:tcPr>
            <w:tcW w:type="dxa" w:w="3672"/>
            <w:vAlign w:val="center"/>
            <w:shd w:fill="243E50"/>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color w:val="FFFFFF"/>
                <w:sz w:val="19"/>
              </w:rPr>
              <w:t>재원 검토</w:t>
            </w:r>
          </w:p>
        </w:tc>
      </w:tr>
      <w:tr>
        <w:trPr>
          <w:cantSplit/>
        </w:trPr>
        <w:tc>
          <w:tcPr>
            <w:tcW w:type="dxa" w:w="1944"/>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참여자 인건비</w:t>
            </w:r>
          </w:p>
        </w:tc>
        <w:tc>
          <w:tcPr>
            <w:tcW w:type="dxa" w:w="4536"/>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활동시간·이동·대기, 법정수당, 사용자 부담금 등</w:t>
            </w:r>
          </w:p>
        </w:tc>
        <w:tc>
          <w:tcPr>
            <w:tcW w:type="dxa" w:w="3672"/>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승인된 노인일자리 예산 및 지방비</w:t>
            </w:r>
          </w:p>
        </w:tc>
      </w:tr>
      <w:tr>
        <w:trPr>
          <w:cantSplit/>
        </w:trPr>
        <w:tc>
          <w:tcPr>
            <w:tcW w:type="dxa" w:w="1944"/>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기관 운영비</w:t>
            </w:r>
          </w:p>
        </w:tc>
        <w:tc>
          <w:tcPr>
            <w:tcW w:type="dxa" w:w="4536"/>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전담인력, 수요조사, 매칭·결원 대응, 사후관리</w:t>
            </w:r>
          </w:p>
        </w:tc>
        <w:tc>
          <w:tcPr>
            <w:tcW w:type="dxa" w:w="3672"/>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국비 연계 가능 여부 및 지방비</w:t>
            </w:r>
          </w:p>
        </w:tc>
      </w:tr>
      <w:tr>
        <w:trPr>
          <w:cantSplit/>
        </w:trPr>
        <w:tc>
          <w:tcPr>
            <w:tcW w:type="dxa" w:w="1944"/>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교육 및 검증비</w:t>
            </w:r>
          </w:p>
        </w:tc>
        <w:tc>
          <w:tcPr>
            <w:tcW w:type="dxa" w:w="4536"/>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강사·실습·교육자료, 적법한 검증 절차</w:t>
            </w:r>
          </w:p>
        </w:tc>
        <w:tc>
          <w:tcPr>
            <w:tcW w:type="dxa" w:w="3672"/>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공공 사업비</w:t>
            </w:r>
          </w:p>
        </w:tc>
      </w:tr>
      <w:tr>
        <w:trPr>
          <w:cantSplit/>
        </w:trPr>
        <w:tc>
          <w:tcPr>
            <w:tcW w:type="dxa" w:w="1944"/>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보험 및 안전관리비</w:t>
            </w:r>
          </w:p>
        </w:tc>
        <w:tc>
          <w:tcPr>
            <w:tcW w:type="dxa" w:w="4536"/>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아동·참여자 보장, 위험성 점검, 안전용품</w:t>
            </w:r>
          </w:p>
        </w:tc>
        <w:tc>
          <w:tcPr>
            <w:tcW w:type="dxa" w:w="3672"/>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공공 사업비</w:t>
            </w:r>
          </w:p>
        </w:tc>
      </w:tr>
      <w:tr>
        <w:trPr>
          <w:cantSplit/>
        </w:trPr>
        <w:tc>
          <w:tcPr>
            <w:tcW w:type="dxa" w:w="1944"/>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시스템 운영비</w:t>
            </w:r>
          </w:p>
        </w:tc>
        <w:tc>
          <w:tcPr>
            <w:tcW w:type="dxa" w:w="4536"/>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신청·활동 기록·보호자 알림·정보보호</w:t>
            </w:r>
          </w:p>
        </w:tc>
        <w:tc>
          <w:tcPr>
            <w:tcW w:type="dxa" w:w="3672"/>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공공 사업비</w:t>
            </w:r>
          </w:p>
        </w:tc>
      </w:tr>
      <w:tr>
        <w:trPr>
          <w:cantSplit/>
        </w:trPr>
        <w:tc>
          <w:tcPr>
            <w:tcW w:type="dxa" w:w="1944"/>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평가 및 예비비</w:t>
            </w:r>
          </w:p>
        </w:tc>
        <w:tc>
          <w:tcPr>
            <w:tcW w:type="dxa" w:w="4536"/>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원가·성과평가, 예상치 못한 운영비</w:t>
            </w:r>
          </w:p>
        </w:tc>
        <w:tc>
          <w:tcPr>
            <w:tcW w:type="dxa" w:w="3672"/>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지방비 등 별도 검토</w:t>
            </w:r>
          </w:p>
        </w:tc>
      </w:tr>
    </w:tbl>
    <w:p>
      <w:pPr>
        <w:spacing w:after="0" w:line="80" w:lineRule="exact" w:before="0"/>
      </w:pPr>
    </w:p>
    <w:p>
      <w:r>
        <w:t>이용자 본인부담금은 비용 항목이 아니라 사업의 수입·재원 항목으로 편성한다. 총사업비에서 실제 수납 예상액과 확정된 타 재원을 차감하여 필요한 공공지원 규모를 산정한다. 원가 계산에는 기존 예산으로 지급하는 인건비도 포함하여 총원가와 신규 추가예산을 함께 제시한다.</w:t>
      </w:r>
    </w:p>
    <w:p>
      <w:pPr>
        <w:pStyle w:val="Heading2"/>
      </w:pPr>
      <w:r>
        <w:t>5 시범사업에서 측정할 원가 항목</w:t>
      </w:r>
    </w:p>
    <w:p>
      <w:r>
        <w:t>서비스별 직접 동행시간, 이동·대기시간, 취소·지연·결원 대응시간, 참여자별 활동량, 관리 인건비, 교육·검증·보험·시스템 비용을 기록한다. 초기 구축비와 반복 운영비를 나누고, 이용률이 낮은 경우에도 유지되는 고정비를 구분한다.</w:t>
      </w:r>
    </w:p>
    <w:tbl>
      <w:tblPr>
        <w:tblW w:type="auto" w:w="0"/>
        <w:jc w:val="center"/>
        <w:tblLayout w:type="fixed"/>
        <w:tblLook w:firstColumn="1" w:firstRow="1" w:lastColumn="0" w:lastRow="0" w:noHBand="0" w:noVBand="1" w:val="04A0"/>
      </w:tblPr>
      <w:tblGrid>
        <w:gridCol w:w="2880"/>
        <w:gridCol w:w="7272"/>
      </w:tblGrid>
      <w:tr>
        <w:trPr>
          <w:cantSplit/>
          <w:tblHeader/>
        </w:trPr>
        <w:tc>
          <w:tcPr>
            <w:tcW w:type="dxa" w:w="2880"/>
            <w:vAlign w:val="center"/>
            <w:shd w:fill="243E50"/>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color w:val="FFFFFF"/>
                <w:sz w:val="19"/>
              </w:rPr>
              <w:t>산출 지표</w:t>
            </w:r>
          </w:p>
        </w:tc>
        <w:tc>
          <w:tcPr>
            <w:tcW w:type="dxa" w:w="7272"/>
            <w:vAlign w:val="center"/>
            <w:shd w:fill="243E50"/>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color w:val="FFFFFF"/>
                <w:sz w:val="19"/>
              </w:rPr>
              <w:t>계산 방식</w:t>
            </w:r>
          </w:p>
        </w:tc>
      </w:tr>
      <w:tr>
        <w:trPr>
          <w:cantSplit/>
        </w:trPr>
        <w:tc>
          <w:tcPr>
            <w:tcW w:type="dxa" w:w="2880"/>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건당 총원가</w:t>
            </w:r>
          </w:p>
        </w:tc>
        <w:tc>
          <w:tcPr>
            <w:tcW w:type="dxa" w:w="7272"/>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해당 기간 총운영비 ÷ 완료 서비스 건수</w:t>
            </w:r>
          </w:p>
        </w:tc>
      </w:tr>
      <w:tr>
        <w:trPr>
          <w:cantSplit/>
        </w:trPr>
        <w:tc>
          <w:tcPr>
            <w:tcW w:type="dxa" w:w="2880"/>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직접 서비스 1시간당 원가</w:t>
            </w:r>
          </w:p>
        </w:tc>
        <w:tc>
          <w:tcPr>
            <w:tcW w:type="dxa" w:w="7272"/>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해당 기간 총운영비 ÷ 직접 동행·보호시간 합계</w:t>
            </w:r>
          </w:p>
        </w:tc>
      </w:tr>
      <w:tr>
        <w:trPr>
          <w:cantSplit/>
        </w:trPr>
        <w:tc>
          <w:tcPr>
            <w:tcW w:type="dxa" w:w="2880"/>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예상 본인부담 수입</w:t>
            </w:r>
          </w:p>
        </w:tc>
        <w:tc>
          <w:tcPr>
            <w:tcW w:type="dxa" w:w="7272"/>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서비스 유형별 예상 이용건수 × 제안 본인부담금</w:t>
            </w:r>
          </w:p>
        </w:tc>
      </w:tr>
      <w:tr>
        <w:trPr>
          <w:cantSplit/>
        </w:trPr>
        <w:tc>
          <w:tcPr>
            <w:tcW w:type="dxa" w:w="2880"/>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필요 공공지원액</w:t>
            </w:r>
          </w:p>
        </w:tc>
        <w:tc>
          <w:tcPr>
            <w:tcW w:type="dxa" w:w="7272"/>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총사업비 − 본인부담 수입 − 중복되지 않는 확정 타 재원</w:t>
            </w:r>
          </w:p>
        </w:tc>
      </w:tr>
    </w:tbl>
    <w:p>
      <w:pPr>
        <w:spacing w:after="0" w:line="80" w:lineRule="exact" w:before="0"/>
      </w:pPr>
    </w:p>
    <w:p>
      <w:pPr>
        <w:spacing w:before="80"/>
      </w:pPr>
      <w:r>
        <w:rPr>
          <w:color w:val="555555"/>
          <w:sz w:val="18"/>
        </w:rPr>
        <w:t>요금·지원율은 원가와 소득별 부담능력을 함께 분석하여 정한다. 예약 취소·불이행 문제는 실제 자료를 수집해 취소규정으로 관리하며, 무료 서비스가 곧바로 남용을 일으킨다고 단정하지 않는다.</w:t>
      </w:r>
    </w:p>
    <w:p>
      <w:pPr>
        <w:pStyle w:val="Heading2"/>
      </w:pPr>
      <w:r>
        <w:t>6 사업 착수 전 재정 및 제도 검토</w:t>
      </w:r>
    </w:p>
    <w:p>
      <w:r>
        <w:t>신설·변경 사회보장제도에 해당하는지 확인하고 해당 시 「사회보장기본법」 제26조에 따른 협의 절차를 진행한다. 기존 사업의 10개월 지원과 연중 돌봄 수요 간 차이, 방학 운영 및 미지원 기간의 인건비도 별도로 검토한다. [13]</w:t>
      </w:r>
    </w:p>
    <w:p>
      <w:pPr>
        <w:pStyle w:val="Heading1"/>
        <w:pageBreakBefore/>
      </w:pPr>
      <w:r>
        <w:t>6 기대효과 및 평가</w:t>
      </w:r>
    </w:p>
    <w:p>
      <w:r>
        <w:t>본 사업의 효과는 운영 이전에 확정할 수 없으므로 아래 항목을 시범사업의 검증 목표로 둔다. 이용 실적만으로 돌봄 공백 해소나 비용 절감을 입증하지 않고, 이용 전후 변화와 안전·비용 지표를 함께 평가한다.</w:t>
      </w:r>
    </w:p>
    <w:tbl>
      <w:tblPr>
        <w:tblW w:type="auto" w:w="0"/>
        <w:jc w:val="center"/>
        <w:tblLayout w:type="fixed"/>
        <w:tblLook w:firstColumn="1" w:firstRow="1" w:lastColumn="0" w:lastRow="0" w:noHBand="0" w:noVBand="1" w:val="04A0"/>
      </w:tblPr>
      <w:tblGrid>
        <w:gridCol w:w="1944"/>
        <w:gridCol w:w="3312"/>
        <w:gridCol w:w="4896"/>
      </w:tblGrid>
      <w:tr>
        <w:trPr>
          <w:cantSplit/>
          <w:tblHeader/>
        </w:trPr>
        <w:tc>
          <w:tcPr>
            <w:tcW w:type="dxa" w:w="1944"/>
            <w:vAlign w:val="center"/>
            <w:shd w:fill="243E50"/>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color w:val="FFFFFF"/>
                <w:sz w:val="19"/>
              </w:rPr>
              <w:t>기대효과</w:t>
            </w:r>
          </w:p>
        </w:tc>
        <w:tc>
          <w:tcPr>
            <w:tcW w:type="dxa" w:w="3312"/>
            <w:vAlign w:val="center"/>
            <w:shd w:fill="243E50"/>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color w:val="FFFFFF"/>
                <w:sz w:val="19"/>
              </w:rPr>
              <w:t>성과지표</w:t>
            </w:r>
          </w:p>
        </w:tc>
        <w:tc>
          <w:tcPr>
            <w:tcW w:type="dxa" w:w="4896"/>
            <w:vAlign w:val="center"/>
            <w:shd w:fill="243E50"/>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color w:val="FFFFFF"/>
                <w:sz w:val="19"/>
              </w:rPr>
              <w:t>측정 방법</w:t>
            </w:r>
          </w:p>
        </w:tc>
      </w:tr>
      <w:tr>
        <w:trPr>
          <w:cantSplit/>
        </w:trPr>
        <w:tc>
          <w:tcPr>
            <w:tcW w:type="dxa" w:w="1944"/>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이동·인계 공백 완화</w:t>
            </w:r>
          </w:p>
        </w:tc>
        <w:tc>
          <w:tcPr>
            <w:tcW w:type="dxa" w:w="3312"/>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공백 해소시간, 서비스 완료 건수</w:t>
            </w:r>
          </w:p>
        </w:tc>
        <w:tc>
          <w:tcPr>
            <w:tcW w:type="dxa" w:w="4896"/>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신청 사유 및 이용 전후 보호 공백 비교</w:t>
            </w:r>
          </w:p>
        </w:tc>
      </w:tr>
      <w:tr>
        <w:trPr>
          <w:cantSplit/>
        </w:trPr>
        <w:tc>
          <w:tcPr>
            <w:tcW w:type="dxa" w:w="1944"/>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이용 접근성 향상</w:t>
            </w:r>
          </w:p>
        </w:tc>
        <w:tc>
          <w:tcPr>
            <w:tcW w:type="dxa" w:w="3312"/>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매칭률, 평균 대기일수</w:t>
            </w:r>
          </w:p>
        </w:tc>
        <w:tc>
          <w:tcPr>
            <w:tcW w:type="dxa" w:w="4896"/>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매칭 확정 신청 ÷ 유효 신청</w:t>
            </w:r>
          </w:p>
        </w:tc>
      </w:tr>
      <w:tr>
        <w:trPr>
          <w:cantSplit/>
        </w:trPr>
        <w:tc>
          <w:tcPr>
            <w:tcW w:type="dxa" w:w="1944"/>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고령층 사회참여 확대</w:t>
            </w:r>
          </w:p>
        </w:tc>
        <w:tc>
          <w:tcPr>
            <w:tcW w:type="dxa" w:w="3312"/>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참여자 수, 활동시간, 지속률</w:t>
            </w:r>
          </w:p>
        </w:tc>
        <w:tc>
          <w:tcPr>
            <w:tcW w:type="dxa" w:w="4896"/>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등록·활동기록 및 중도이탈 사유</w:t>
            </w:r>
          </w:p>
        </w:tc>
      </w:tr>
      <w:tr>
        <w:trPr>
          <w:cantSplit/>
        </w:trPr>
        <w:tc>
          <w:tcPr>
            <w:tcW w:type="dxa" w:w="1944"/>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가정의 시간부담 완화</w:t>
            </w:r>
          </w:p>
        </w:tc>
        <w:tc>
          <w:tcPr>
            <w:tcW w:type="dxa" w:w="3312"/>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보호자의 직접 동행시간 변화</w:t>
            </w:r>
          </w:p>
        </w:tc>
        <w:tc>
          <w:tcPr>
            <w:tcW w:type="dxa" w:w="4896"/>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이용 전후 동일 문항 조사</w:t>
            </w:r>
          </w:p>
        </w:tc>
      </w:tr>
      <w:tr>
        <w:trPr>
          <w:cantSplit/>
        </w:trPr>
        <w:tc>
          <w:tcPr>
            <w:tcW w:type="dxa" w:w="1944"/>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서비스 신뢰 향상</w:t>
            </w:r>
          </w:p>
        </w:tc>
        <w:tc>
          <w:tcPr>
            <w:tcW w:type="dxa" w:w="3312"/>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만족도, 재이용 의향, 민원 처리</w:t>
            </w:r>
          </w:p>
        </w:tc>
        <w:tc>
          <w:tcPr>
            <w:tcW w:type="dxa" w:w="4896"/>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보호자·아동·참여자 의견 수렴</w:t>
            </w:r>
          </w:p>
        </w:tc>
      </w:tr>
      <w:tr>
        <w:trPr>
          <w:cantSplit/>
        </w:trPr>
        <w:tc>
          <w:tcPr>
            <w:tcW w:type="dxa" w:w="1944"/>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안전관리 수준 확인</w:t>
            </w:r>
          </w:p>
        </w:tc>
        <w:tc>
          <w:tcPr>
            <w:tcW w:type="dxa" w:w="3312"/>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사고·아차사고, 인계 준수율</w:t>
            </w:r>
          </w:p>
        </w:tc>
        <w:tc>
          <w:tcPr>
            <w:tcW w:type="dxa" w:w="4896"/>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건수와 서비스 1,000건당 발생률 병기</w:t>
            </w:r>
          </w:p>
        </w:tc>
      </w:tr>
      <w:tr>
        <w:trPr>
          <w:cantSplit/>
        </w:trPr>
        <w:tc>
          <w:tcPr>
            <w:tcW w:type="dxa" w:w="1944"/>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운영 효율성 검증</w:t>
            </w:r>
          </w:p>
        </w:tc>
        <w:tc>
          <w:tcPr>
            <w:tcW w:type="dxa" w:w="3312"/>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건당 총원가, 이동·대기 비중</w:t>
            </w:r>
          </w:p>
        </w:tc>
        <w:tc>
          <w:tcPr>
            <w:tcW w:type="dxa" w:w="4896"/>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모든 재원의 비용을 포함한 원가분석</w:t>
            </w:r>
          </w:p>
        </w:tc>
      </w:tr>
      <w:tr>
        <w:trPr>
          <w:cantSplit/>
        </w:trPr>
        <w:tc>
          <w:tcPr>
            <w:tcW w:type="dxa" w:w="1944"/>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지역 연계 강화</w:t>
            </w:r>
          </w:p>
        </w:tc>
        <w:tc>
          <w:tcPr>
            <w:tcW w:type="dxa" w:w="3312"/>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연계기관 수, 실제 운영 생활권</w:t>
            </w:r>
          </w:p>
        </w:tc>
        <w:tc>
          <w:tcPr>
            <w:tcW w:type="dxa" w:w="4896"/>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협약 수와 실제 서비스 제공 실적 구분</w:t>
            </w:r>
          </w:p>
        </w:tc>
      </w:tr>
    </w:tbl>
    <w:p>
      <w:pPr>
        <w:spacing w:after="0" w:line="80" w:lineRule="exact" w:before="0"/>
      </w:pPr>
    </w:p>
    <w:p>
      <w:pPr>
        <w:pStyle w:val="Heading2"/>
      </w:pPr>
      <w:r>
        <w:t>시범사업 추진과 확대 판단</w:t>
      </w:r>
    </w:p>
    <w:p>
      <w:r>
        <w:t>준비 단계에서는 수요와 기존 서비스의 공급 상황을 조사하고, 검증·보험·근로·예산 요건을 확정한다. 운영 단계에서는 소수 생활권의 정기 수요부터 시작해 기록을 축적한다. 평가 단계에서는 인계 준수, 사고 대응, 미매칭 사유와 총원가를 검토하여 확대·보완·중단 여부를 결정한다.</w:t>
      </w:r>
    </w:p>
    <w:p>
      <w:r>
        <w:t>참여인원, 운영기간, 생활권 수와 성과 목표치는 수요조사 및 예산 협의 후 정한다. 사전에 임의의 이용가구 수나 절감액을 확정하지 않으며, 중대한 안전 문제는 전체 실적이 양호해도 별도로 검토한다.</w:t>
      </w:r>
    </w:p>
    <w:p>
      <w:pPr>
        <w:pStyle w:val="Heading2"/>
      </w:pPr>
      <w:r>
        <w:t>검토 요청사항</w:t>
      </w:r>
    </w:p>
    <w:p>
      <w:r>
        <w:t>지방자치단체가 노인일자리 담당부서와 아동돌봄 담당부서를 공동 검토 창구로 지정하여 ① 생활권 수요조사, ② 적법한 참여자 검증 및 보험구조, ③ 기존 사업과의 중복·연계 가능성, ④ 시범사업 예산과 평가계획을 검토할 것을 제안한다.</w:t>
      </w:r>
    </w:p>
    <w:p>
      <w:r>
        <w:t>공공의 관리 아래 짧은 이동·인계 수요를 안정적으로 연결할 수 있는지 검증하고, 효과와 안전성이 확인된 범위에서 사업을 확대한다.</w:t>
      </w:r>
    </w:p>
    <w:p>
      <w:pPr>
        <w:pStyle w:val="Heading1"/>
        <w:pageBreakBefore/>
      </w:pPr>
      <w:r>
        <w:t>부록 검증 및 수정 내역</w:t>
      </w:r>
    </w:p>
    <w:p>
      <w:pPr>
        <w:spacing w:before="80"/>
      </w:pPr>
      <w:r>
        <w:rPr>
          <w:color w:val="555555"/>
          <w:sz w:val="18"/>
        </w:rPr>
        <w:t>검증일 2026. 9. 29.  |  확인은 공개된 공식 통계·기관 안내·법령에 한정하며, 실제 지역 공급과 개별 사업 승인 여부는 별도 확인이 필요하다.</w:t>
      </w:r>
    </w:p>
    <w:tbl>
      <w:tblPr>
        <w:tblW w:type="auto" w:w="0"/>
        <w:jc w:val="center"/>
        <w:tblLayout w:type="fixed"/>
        <w:tblLook w:firstColumn="1" w:firstRow="1" w:lastColumn="0" w:lastRow="0" w:noHBand="0" w:noVBand="1" w:val="04A0"/>
      </w:tblPr>
      <w:tblGrid>
        <w:gridCol w:w="2160"/>
        <w:gridCol w:w="1584"/>
        <w:gridCol w:w="6408"/>
      </w:tblGrid>
      <w:tr>
        <w:trPr>
          <w:cantSplit/>
          <w:tblHeader/>
        </w:trPr>
        <w:tc>
          <w:tcPr>
            <w:tcW w:type="dxa" w:w="2160"/>
            <w:vAlign w:val="center"/>
            <w:shd w:fill="243E50"/>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color w:val="FFFFFF"/>
                <w:sz w:val="19"/>
              </w:rPr>
              <w:t>원문 항목</w:t>
            </w:r>
          </w:p>
        </w:tc>
        <w:tc>
          <w:tcPr>
            <w:tcW w:type="dxa" w:w="1584"/>
            <w:vAlign w:val="center"/>
            <w:shd w:fill="243E50"/>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color w:val="FFFFFF"/>
                <w:sz w:val="19"/>
              </w:rPr>
              <w:t>판정</w:t>
            </w:r>
          </w:p>
        </w:tc>
        <w:tc>
          <w:tcPr>
            <w:tcW w:type="dxa" w:w="6408"/>
            <w:vAlign w:val="center"/>
            <w:shd w:fill="243E50"/>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color w:val="FFFFFF"/>
                <w:sz w:val="19"/>
              </w:rPr>
              <w:t>수정 및 확인 내용</w:t>
            </w:r>
          </w:p>
        </w:tc>
      </w:tr>
      <w:tr>
        <w:trPr>
          <w:cantSplit/>
        </w:trPr>
        <w:tc>
          <w:tcPr>
            <w:tcW w:type="dxa" w:w="2160"/>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맞벌이 통계</w:t>
            </w:r>
          </w:p>
        </w:tc>
        <w:tc>
          <w:tcPr>
            <w:tcW w:type="dxa" w:w="1584"/>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수치 확인</w:t>
              <w:br/>
              <w:t>해석 수정</w:t>
            </w:r>
          </w:p>
        </w:tc>
        <w:tc>
          <w:tcPr>
            <w:tcW w:type="dxa" w:w="6408"/>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60.4%·228만 7천 가구 확인. 유자녀 맞벌이 가구 수는 감소하여 “비중 상승”으로 수정. [1]</w:t>
            </w:r>
          </w:p>
        </w:tc>
      </w:tr>
      <w:tr>
        <w:trPr>
          <w:cantSplit/>
        </w:trPr>
        <w:tc>
          <w:tcPr>
            <w:tcW w:type="dxa" w:w="2160"/>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초등 돌봄 참여율</w:t>
            </w:r>
          </w:p>
        </w:tc>
        <w:tc>
          <w:tcPr>
            <w:tcW w:type="dxa" w:w="1584"/>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수치 확인</w:t>
              <w:br/>
              <w:t>해석 보완</w:t>
            </w:r>
          </w:p>
        </w:tc>
        <w:tc>
          <w:tcPr>
            <w:tcW w:type="dxa" w:w="6408"/>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초3~6 수치 확인. 미충족 수요나 이동 공백의 직접 지표가 아니라는 설명 추가. [2]</w:t>
            </w:r>
          </w:p>
        </w:tc>
      </w:tr>
      <w:tr>
        <w:trPr>
          <w:cantSplit/>
        </w:trPr>
        <w:tc>
          <w:tcPr>
            <w:tcW w:type="dxa" w:w="2160"/>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아이돌봄 이용가구</w:t>
            </w:r>
          </w:p>
        </w:tc>
        <w:tc>
          <w:tcPr>
            <w:tcW w:type="dxa" w:w="1584"/>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수치 확인</w:t>
              <w:br/>
              <w:t>범위 보완</w:t>
            </w:r>
          </w:p>
        </w:tc>
        <w:tc>
          <w:tcPr>
            <w:tcW w:type="dxa" w:w="6408"/>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3개년 합계 확인. 기타 항목 포함을 명시하고 일반 시간제 수요와 구분. [3]</w:t>
            </w:r>
          </w:p>
        </w:tc>
      </w:tr>
      <w:tr>
        <w:trPr>
          <w:cantSplit/>
        </w:trPr>
        <w:tc>
          <w:tcPr>
            <w:tcW w:type="dxa" w:w="2160"/>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일반 시간제 2시간</w:t>
            </w:r>
          </w:p>
        </w:tc>
        <w:tc>
          <w:tcPr>
            <w:tcW w:type="dxa" w:w="1584"/>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확인</w:t>
            </w:r>
          </w:p>
        </w:tc>
        <w:tc>
          <w:tcPr>
            <w:tcW w:type="dxa" w:w="6408"/>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기본 2시간, 추가 30분 단위 확인. 기존 등·하원 지원도 반영. [4]</w:t>
            </w:r>
          </w:p>
        </w:tc>
      </w:tr>
      <w:tr>
        <w:trPr>
          <w:cantSplit/>
        </w:trPr>
        <w:tc>
          <w:tcPr>
            <w:tcW w:type="dxa" w:w="2160"/>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단시간 돌봄 1시간</w:t>
            </w:r>
          </w:p>
        </w:tc>
        <w:tc>
          <w:tcPr>
            <w:tcW w:type="dxa" w:w="1584"/>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조건부 유지</w:t>
            </w:r>
          </w:p>
        </w:tc>
        <w:tc>
          <w:tcPr>
            <w:tcW w:type="dxa" w:w="6408"/>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공식 별도 안내에 있으나 통합 안내와 차이 존재. 현행 전국 공통 운영이라는 단정 삭제. [4][5]</w:t>
            </w:r>
          </w:p>
        </w:tc>
      </w:tr>
      <w:tr>
        <w:trPr>
          <w:cantSplit/>
        </w:trPr>
        <w:tc>
          <w:tcPr>
            <w:tcW w:type="dxa" w:w="2160"/>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고령층 근로 희망</w:t>
            </w:r>
          </w:p>
        </w:tc>
        <w:tc>
          <w:tcPr>
            <w:tcW w:type="dxa" w:w="1584"/>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수치 확인</w:t>
              <w:br/>
              <w:t>모집단 보완</w:t>
            </w:r>
          </w:p>
        </w:tc>
        <w:tc>
          <w:tcPr>
            <w:tcW w:type="dxa" w:w="6408"/>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69.2%·1,178만 2천 명·73.6세 및 성별 선택기준 확인. 55~79세 조사와 사업 참여연령 구분. [6]</w:t>
            </w:r>
          </w:p>
        </w:tc>
      </w:tr>
      <w:tr>
        <w:trPr>
          <w:cantSplit/>
        </w:trPr>
        <w:tc>
          <w:tcPr>
            <w:tcW w:type="dxa" w:w="2160"/>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아이돌봄 요금·지원율</w:t>
            </w:r>
          </w:p>
        </w:tc>
        <w:tc>
          <w:tcPr>
            <w:tcW w:type="dxa" w:w="1584"/>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확인</w:t>
              <w:br/>
              <w:t>기준 보완</w:t>
            </w:r>
          </w:p>
        </w:tc>
        <w:tc>
          <w:tcPr>
            <w:tcW w:type="dxa" w:w="6408"/>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12,790원과 B형 지원구조 확인. 단순 “6~12세” 대신 2026년 출생일 기준 명시. [8]</w:t>
            </w:r>
          </w:p>
        </w:tc>
      </w:tr>
      <w:tr>
        <w:trPr>
          <w:cantSplit/>
        </w:trPr>
        <w:tc>
          <w:tcPr>
            <w:tcW w:type="dxa" w:w="2160"/>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노인역량활용 예산</w:t>
            </w:r>
          </w:p>
        </w:tc>
        <w:tc>
          <w:tcPr>
            <w:tcW w:type="dxa" w:w="1584"/>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금액 확인</w:t>
              <w:br/>
              <w:t>주석 보완</w:t>
            </w:r>
          </w:p>
        </w:tc>
        <w:tc>
          <w:tcPr>
            <w:tcW w:type="dxa" w:w="6408"/>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공식 페이지 금액 확인. 기준연도 단정 삭제, 부대경비 내 주휴·연차수당 포함 명시. [7]</w:t>
            </w:r>
          </w:p>
        </w:tc>
      </w:tr>
      <w:tr>
        <w:trPr>
          <w:cantSplit/>
        </w:trPr>
        <w:tc>
          <w:tcPr>
            <w:tcW w:type="dxa" w:w="2160"/>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범죄경력 조회</w:t>
            </w:r>
          </w:p>
        </w:tc>
        <w:tc>
          <w:tcPr>
            <w:tcW w:type="dxa" w:w="1584"/>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법적 조건 강화</w:t>
            </w:r>
          </w:p>
        </w:tc>
        <w:tc>
          <w:tcPr>
            <w:tcW w:type="dxa" w:w="6408"/>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단순 동의·협약만으로 조회 불가. 기관·업무·참여자의 법적 적용 여부 확인을 선행 조건으로 명시. [9][10][11]</w:t>
            </w:r>
          </w:p>
        </w:tc>
      </w:tr>
      <w:tr>
        <w:trPr>
          <w:cantSplit/>
        </w:trPr>
        <w:tc>
          <w:tcPr>
            <w:tcW w:type="dxa" w:w="2160"/>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보험·사고 대응</w:t>
            </w:r>
          </w:p>
        </w:tc>
        <w:tc>
          <w:tcPr>
            <w:tcW w:type="dxa" w:w="1584"/>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근거 정비</w:t>
            </w:r>
          </w:p>
        </w:tc>
        <w:tc>
          <w:tcPr>
            <w:tcW w:type="dxa" w:w="6408"/>
            <w:vAlign w:val="center"/>
            <w:shd w:fill="FFFFFF"/>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“디지털봄”, “제이바하” 등 자료 식별이 불완전한 출처를 제거. 제안 기준과 법정 의무를 구분. [12]</w:t>
            </w:r>
          </w:p>
        </w:tc>
      </w:tr>
      <w:tr>
        <w:trPr>
          <w:cantSplit/>
        </w:trPr>
        <w:tc>
          <w:tcPr>
            <w:tcW w:type="dxa" w:w="2160"/>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jc w:val="center"/>
            </w:pPr>
            <w:r>
              <w:rPr>
                <w:b w:val="0"/>
                <w:color w:val="000000"/>
                <w:sz w:val="19"/>
              </w:rPr>
              <w:t>형식·표현</w:t>
            </w:r>
          </w:p>
        </w:tc>
        <w:tc>
          <w:tcPr>
            <w:tcW w:type="dxa" w:w="1584"/>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교정</w:t>
            </w:r>
          </w:p>
        </w:tc>
        <w:tc>
          <w:tcPr>
            <w:tcW w:type="dxa" w:w="6408"/>
            <w:vAlign w:val="center"/>
            <w:shd w:fill="F2F5F7"/>
            <w:tcBorders>
              <w:top w:val="single" w:sz="4" w:color="D9D9D9"/>
              <w:left w:val="single" w:sz="4" w:color="D9D9D9"/>
              <w:bottom w:val="single" w:sz="4" w:color="D9D9D9"/>
              <w:right w:val="single" w:sz="4" w:color="D9D9D9"/>
            </w:tcBorders>
            <w:tcMar>
              <w:top w:w="65" w:type="dxa"/>
              <w:bottom w:w="65" w:type="dxa"/>
              <w:left w:w="65" w:type="dxa"/>
              <w:right w:w="65" w:type="dxa"/>
            </w:tcMar>
          </w:tcPr>
          <w:p>
            <w:pPr>
              <w:spacing w:after="40" w:before="40" w:line="280" w:lineRule="exact"/>
            </w:pPr>
            <w:r>
              <w:rPr>
                <w:b w:val="0"/>
                <w:color w:val="000000"/>
                <w:sz w:val="19"/>
              </w:rPr>
              <w:t>2장 하위번호 3.1 등 번호 불일치 정리. 대화용 문장·별표 마크업·고립된 마침표·중복 결론 제거.</w:t>
            </w:r>
          </w:p>
        </w:tc>
      </w:tr>
    </w:tbl>
    <w:p>
      <w:pPr>
        <w:spacing w:after="0" w:line="80" w:lineRule="exact" w:before="0"/>
      </w:pPr>
    </w:p>
    <w:p>
      <w:pPr>
        <w:spacing w:before="80"/>
      </w:pPr>
      <w:r>
        <w:rPr>
          <w:color w:val="555555"/>
          <w:sz w:val="18"/>
        </w:rPr>
        <w:t>보완한 설계안: 초기 1대1 순차 동행, 인계 지연·결원 대응, 개인정보 관리, 총원가와 추가예산 구분, 사회보장제도 협의 검토. 원문 취지를 유지하면서 실행 시 필요한 조건을 추가하였다.</w:t>
      </w:r>
    </w:p>
    <w:p>
      <w:pPr>
        <w:pStyle w:val="Heading1"/>
        <w:pageBreakBefore/>
      </w:pPr>
      <w:r>
        <w:t>출처 목록</w:t>
      </w:r>
    </w:p>
    <w:p>
      <w:pPr>
        <w:spacing w:before="80"/>
      </w:pPr>
      <w:r>
        <w:rPr>
          <w:color w:val="555555"/>
          <w:sz w:val="18"/>
        </w:rPr>
        <w:t>모든 웹 자료 확인일: 2026. 9. 29. 제목 옆 링크는 해당 원문 또는 기관의 공식 안내로 연결된다. 게시일이 없는 안내 페이지는 확인일 기준으로 인용하였다.</w:t>
      </w:r>
    </w:p>
    <w:p>
      <w:r>
        <w:rPr>
          <w:b/>
          <w:sz w:val="18"/>
        </w:rPr>
        <w:t xml:space="preserve">[1] 국가데이터처  </w:t>
      </w:r>
      <w:hyperlink r:id="rId11">
        <w:r>
          <w:rPr>
            <w:color w:val="245477"/>
          </w:rPr>
          <w:t>공식 원문 열기</w:t>
        </w:r>
      </w:hyperlink>
    </w:p>
    <w:p>
      <w:r>
        <w:t>2025년 하반기 지역별고용조사 맞벌이 가구 및 1인 가구 취업 현황. 2026. 6. 18. 발표. 확인 위치: 본문 요약의 18세 미만 자녀가 있는 맞벌이 가구 및 첨부 통계.</w:t>
      </w:r>
    </w:p>
    <w:p>
      <w:r>
        <w:rPr>
          <w:b/>
          <w:sz w:val="18"/>
        </w:rPr>
        <w:t xml:space="preserve">[1 보조] KDI 경제교육 정보센터  </w:t>
      </w:r>
      <w:hyperlink r:id="rId12">
        <w:r>
          <w:rPr>
            <w:color w:val="245477"/>
          </w:rPr>
          <w:t>공식 원문 열기</w:t>
        </w:r>
      </w:hyperlink>
    </w:p>
    <w:p>
      <w:r>
        <w:t>동일 국가데이터처 보도자료 요약 재게시. 맞벌이 비중 60.4%, 전년 대비 1.9%p 상승 및 자녀 연령별 변화 확인.</w:t>
      </w:r>
    </w:p>
    <w:p>
      <w:r>
        <w:rPr>
          <w:b/>
          <w:sz w:val="18"/>
        </w:rPr>
        <w:t xml:space="preserve">[2] 교육부  </w:t>
      </w:r>
      <w:hyperlink r:id="rId13">
        <w:r>
          <w:rPr>
            <w:color w:val="245477"/>
          </w:rPr>
          <w:t>공식 원문 열기</w:t>
        </w:r>
      </w:hyperlink>
    </w:p>
    <w:p>
      <w:r>
        <w:t>2026년 온동네 초등돌봄·교육 추진 방안 발표. 2026. 2. 3. 확인 위치: 도입 이후 달라지는 점 표 하단 2025년 참여율 주석 및 정책 설명.</w:t>
      </w:r>
    </w:p>
    <w:p>
      <w:r>
        <w:rPr>
          <w:b/>
          <w:sz w:val="18"/>
        </w:rPr>
        <w:t xml:space="preserve">[3] 아이돌봄서비스  </w:t>
      </w:r>
      <w:hyperlink r:id="rId14">
        <w:r>
          <w:rPr>
            <w:color w:val="245477"/>
          </w:rPr>
          <w:t>공식 원문 열기</w:t>
        </w:r>
      </w:hyperlink>
    </w:p>
    <w:p>
      <w:r>
        <w:t>아이돌봄 지원사업 이용자 현황. 확인 위치: 연도별 이용자 현황 표 및 기타 항목 주석. 2023~2025년 이용가구 계 인용.</w:t>
      </w:r>
    </w:p>
    <w:p>
      <w:r>
        <w:rPr>
          <w:b/>
          <w:sz w:val="18"/>
        </w:rPr>
        <w:t xml:space="preserve">[4] 아이돌봄서비스  </w:t>
      </w:r>
      <w:hyperlink r:id="rId15">
        <w:r>
          <w:rPr>
            <w:color w:val="245477"/>
          </w:rPr>
          <w:t>공식 원문 열기</w:t>
        </w:r>
      </w:hyperlink>
    </w:p>
    <w:p>
      <w:r>
        <w:t>서비스 유형 소개. 확인 위치: 시간제서비스 돌봄 활동 범위, 서비스 이용요금 및 할인 안내. 일반 시간제 최소 이용시간·요금·등하원 지원 확인.</w:t>
      </w:r>
    </w:p>
    <w:p>
      <w:r>
        <w:rPr>
          <w:b/>
          <w:sz w:val="18"/>
        </w:rPr>
        <w:t xml:space="preserve">[5] 아이돌봄서비스  </w:t>
      </w:r>
      <w:hyperlink r:id="rId16">
        <w:r>
          <w:rPr>
            <w:color w:val="245477"/>
          </w:rPr>
          <w:t>공식 원문 열기</w:t>
        </w:r>
      </w:hyperlink>
    </w:p>
    <w:p>
      <w:r>
        <w:t>서비스 안내의 긴급·단시간 돌봄 항목. 1시간 단시간 돌봄 안내 확인. [4]와 일부 안내가 달라 현재 지역별 운영 여부는 추가 확인 필요.</w:t>
      </w:r>
    </w:p>
    <w:p>
      <w:r>
        <w:rPr>
          <w:b/>
          <w:sz w:val="18"/>
        </w:rPr>
        <w:t xml:space="preserve">[6] 국가데이터처  </w:t>
      </w:r>
      <w:hyperlink r:id="rId17">
        <w:r>
          <w:rPr>
            <w:color w:val="245477"/>
          </w:rPr>
          <w:t>공식 원문 열기</w:t>
        </w:r>
      </w:hyperlink>
    </w:p>
    <w:p>
      <w:r>
        <w:t>2026년 5월 경제활동인구조사 고령층 부가조사 결과. 2026. 8. 5. 발표. 확인 위치: 장래 근로 희망 및 일자리 선택기준 요약.</w:t>
      </w:r>
    </w:p>
    <w:p>
      <w:r>
        <w:rPr>
          <w:b/>
          <w:sz w:val="18"/>
        </w:rPr>
        <w:t xml:space="preserve">[7] 한국노인인력개발원  </w:t>
      </w:r>
      <w:hyperlink r:id="rId18">
        <w:r>
          <w:rPr>
            <w:color w:val="245477"/>
          </w:rPr>
          <w:t>공식 원문 열기</w:t>
        </w:r>
      </w:hyperlink>
    </w:p>
    <w:p>
      <w:r>
        <w:t>노인역량활용사업. 확인 위치: 참여대상, 사업유형, 예산지원 기준 표와 수당 주석, 추진체계. 별도 기준연도 표기가 없어 현행 홈페이지 확인값으로 사용.</w:t>
      </w:r>
    </w:p>
    <w:p>
      <w:pPr>
        <w:pStyle w:val="Heading1"/>
        <w:pageBreakBefore/>
      </w:pPr>
      <w:r>
        <w:t>출처 목록과 적용 범위</w:t>
      </w:r>
    </w:p>
    <w:p>
      <w:r>
        <w:rPr>
          <w:b/>
          <w:sz w:val="18"/>
        </w:rPr>
        <w:t xml:space="preserve">[8] 법제처 찾기쉬운 생활법령정보  </w:t>
      </w:r>
      <w:hyperlink r:id="rId19">
        <w:r>
          <w:rPr>
            <w:color w:val="245477"/>
          </w:rPr>
          <w:t>공식 원문 열기</w:t>
        </w:r>
      </w:hyperlink>
    </w:p>
    <w:p>
      <w:r>
        <w:t>다자녀가구의 아이돌봄 서비스 우선제공. 2026년도 아이돌봄서비스 비용 및 지원가구 소득기준을 인용한 기본형 요금표와 A·B형 출생일 기준 확인.</w:t>
      </w:r>
    </w:p>
    <w:p>
      <w:r>
        <w:rPr>
          <w:b/>
          <w:sz w:val="18"/>
        </w:rPr>
        <w:t xml:space="preserve">[9] 국가법령정보센터  </w:t>
      </w:r>
      <w:hyperlink r:id="rId20">
        <w:r>
          <w:rPr>
            <w:color w:val="245477"/>
          </w:rPr>
          <w:t>공식 원문 열기</w:t>
        </w:r>
      </w:hyperlink>
    </w:p>
    <w:p>
      <w:r>
        <w:t>아동복지법 제29조의3제5항. 열람본 시행일 2026. 9. 15. 아동관련기관의 취업자·노무제공자에 대한 아동학대관련범죄 전력 확인 근거.</w:t>
      </w:r>
    </w:p>
    <w:p>
      <w:r>
        <w:rPr>
          <w:b/>
          <w:sz w:val="18"/>
        </w:rPr>
        <w:t xml:space="preserve">[10] 국가법령정보센터  </w:t>
      </w:r>
      <w:hyperlink r:id="rId21">
        <w:r>
          <w:rPr>
            <w:color w:val="245477"/>
          </w:rPr>
          <w:t>공식 원문 열기</w:t>
        </w:r>
      </w:hyperlink>
    </w:p>
    <w:p>
      <w:r>
        <w:t>아동·청소년의 성보호에 관한 법률 시행규칙 제8조. 열람본 시행일 2025. 10. 1. 법 제56조에 따른 성범죄 경력 조회 및 통합 조회 신청 절차·증빙 확인.</w:t>
      </w:r>
    </w:p>
    <w:p>
      <w:r>
        <w:rPr>
          <w:b/>
          <w:sz w:val="18"/>
        </w:rPr>
        <w:t xml:space="preserve">[11] 국가법령정보센터  </w:t>
      </w:r>
      <w:hyperlink r:id="rId22">
        <w:r>
          <w:rPr>
            <w:color w:val="245477"/>
          </w:rPr>
          <w:t>공식 원문 열기</w:t>
        </w:r>
      </w:hyperlink>
    </w:p>
    <w:p>
      <w:r>
        <w:t>아이돌봄 지원법 제6조. 열람본 시행일 2026. 4. 23. 아이돌봄사 등 결격사유의 참고 근거. 본 제안의 독자적 자격제도 또는 조회 권한 근거로 사용하지 않음.</w:t>
      </w:r>
    </w:p>
    <w:p>
      <w:r>
        <w:rPr>
          <w:b/>
          <w:sz w:val="18"/>
        </w:rPr>
        <w:t xml:space="preserve">[12] 국가법령정보센터  </w:t>
      </w:r>
      <w:hyperlink r:id="rId23">
        <w:r>
          <w:rPr>
            <w:color w:val="245477"/>
          </w:rPr>
          <w:t>공식 원문 열기</w:t>
        </w:r>
      </w:hyperlink>
    </w:p>
    <w:p>
      <w:r>
        <w:t>노인 일자리 및 사회활동 지원에 관한 법률 시행규칙 제13조. 열람본 시행일 2024. 11. 1. 안전 전담인력·보상체계·활동 전 안전교육·위험 확인 근거.</w:t>
      </w:r>
    </w:p>
    <w:p>
      <w:r>
        <w:rPr>
          <w:b/>
          <w:sz w:val="18"/>
        </w:rPr>
        <w:t xml:space="preserve">[13] 사회보장위원회  </w:t>
      </w:r>
      <w:hyperlink r:id="rId24">
        <w:r>
          <w:rPr>
            <w:color w:val="245477"/>
          </w:rPr>
          <w:t>공식 원문 열기</w:t>
        </w:r>
      </w:hyperlink>
    </w:p>
    <w:p>
      <w:r>
        <w:t>신설변경 협의제도 안내. 사회보장기본법 제26조에 따른 협의제도와 대상 확인. 본 사업의 해당 여부와 구체적 일정은 담당부서 검토사항.</w:t>
      </w:r>
    </w:p>
    <w:p>
      <w:pPr>
        <w:pStyle w:val="Heading2"/>
      </w:pPr>
      <w:r>
        <w:t>근거 적용의 한계</w:t>
      </w:r>
    </w:p>
    <w:p>
      <w:r>
        <w:t>공식 통계는 사업의 배경을 설명하는 자료이며 제안 사업의 효과를 입증한 연구는 아니다. 검증·보험·운영기준은 현행 제도를 참고한 제안으로, 사업유형 확정 후 관계기관 협의와 적용 법령·지침 검토를 거쳐야 한다. 원문에 제시된 특정 안전관리 매뉴얼의 절차는 발행본·쪽수를 특정할 수 없어 현행 제도의 확정 사실로 인용하지 않았다.</w:t>
      </w:r>
    </w:p>
    <w:sectPr w:rsidR="00FC693F" w:rsidRPr="0006063C" w:rsidSect="00034616">
      <w:headerReference w:type="default" r:id="rId9"/>
      <w:footerReference w:type="default" r:id="rId10"/>
      <w:pgSz w:w="12240" w:h="15840"/>
      <w:pgMar w:top="979" w:right="1037" w:bottom="936" w:left="1037" w:header="432" w:footer="432"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sz w:val="16"/>
      </w:rPr>
      <w:t xml:space="preserve">2026. 9. 29.  |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r>
      <w:rPr>
        <w:sz w:val="16"/>
      </w:rPr>
      <w:t>세대이음 안심동행 사업 제안서</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80" w:lineRule="exact"/>
    </w:pPr>
    <w:rPr>
      <w:rFonts w:ascii="Noto Sans KR" w:hAnsi="Noto Sans KR" w:eastAsia="Noto Sans KR"/>
      <w:color w:val="000000"/>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200"/>
      <w:outlineLvl w:val="0"/>
    </w:pPr>
    <w:rPr>
      <w:rFonts w:asciiTheme="majorHAnsi" w:eastAsiaTheme="majorEastAsia" w:hAnsiTheme="majorHAnsi" w:cstheme="majorBidi" w:ascii="Noto Sans KR" w:hAnsi="Noto Sans KR" w:eastAsia="Noto Sans KR"/>
      <w:b/>
      <w:bCs/>
      <w:color w:val="000000"/>
      <w:sz w:val="34"/>
      <w:szCs w:val="28"/>
    </w:rPr>
  </w:style>
  <w:style w:type="paragraph" w:styleId="Heading2">
    <w:name w:val="heading 2"/>
    <w:basedOn w:val="Normal"/>
    <w:next w:val="Normal"/>
    <w:link w:val="Heading2Char"/>
    <w:uiPriority w:val="9"/>
    <w:unhideWhenUsed/>
    <w:qFormat/>
    <w:rsid w:val="00FC693F"/>
    <w:pPr>
      <w:keepNext/>
      <w:keepLines/>
      <w:spacing w:before="180" w:after="100"/>
      <w:outlineLvl w:val="1"/>
    </w:pPr>
    <w:rPr>
      <w:rFonts w:asciiTheme="majorHAnsi" w:eastAsiaTheme="majorEastAsia" w:hAnsiTheme="majorHAnsi" w:cstheme="majorBidi" w:ascii="Noto Sans KR" w:hAnsi="Noto Sans KR" w:eastAsia="Noto Sans KR"/>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100"/>
      <w:outlineLvl w:val="2"/>
    </w:pPr>
    <w:rPr>
      <w:rFonts w:asciiTheme="majorHAnsi" w:eastAsiaTheme="majorEastAsia" w:hAnsiTheme="majorHAnsi" w:cstheme="majorBidi" w:ascii="Noto Sans KR" w:hAnsi="Noto Sans KR" w:eastAsia="Noto Sans KR"/>
      <w:b/>
      <w:bCs/>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00" w:line="240" w:lineRule="auto"/>
      <w:contextualSpacing/>
    </w:pPr>
    <w:rPr>
      <w:rFonts w:asciiTheme="majorHAnsi" w:eastAsiaTheme="majorEastAsia" w:hAnsiTheme="majorHAnsi" w:cstheme="majorBidi" w:ascii="Noto Sans KR" w:hAnsi="Noto Sans KR" w:eastAsia="Noto Sans KR"/>
      <w:color w:val="000000"/>
      <w:spacing w:val="5"/>
      <w:kern w:val="28"/>
      <w:sz w:val="5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spacing w:after="100"/>
    </w:pPr>
    <w:rPr>
      <w:rFonts w:asciiTheme="majorHAnsi" w:eastAsiaTheme="majorEastAsia" w:hAnsiTheme="majorHAnsi" w:cstheme="majorBidi" w:ascii="Noto Sans KR" w:hAnsi="Noto Sans KR" w:eastAsia="Noto Sans KR"/>
      <w:i w:val="0"/>
      <w:iCs/>
      <w:color w:val="000000"/>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yperlink" Target="https://mods.go.kr/board.es?act=view&amp;bid=211&amp;list_no=445516&amp;mid=a10301010000" TargetMode="External"/><Relationship Id="rId12" Type="http://schemas.openxmlformats.org/officeDocument/2006/relationships/hyperlink" Target="https://eiec.kdi.re.kr/policy/materialView.do?num=282877" TargetMode="External"/><Relationship Id="rId13" Type="http://schemas.openxmlformats.org/officeDocument/2006/relationships/hyperlink" Target="https://www.moe.go.kr/boardCnts/viewRenew.do?boardID=294&amp;boardSeq=105261&amp;lev=0&amp;m=020402&amp;opType=N&amp;s=moe&amp;statusYN=W" TargetMode="External"/><Relationship Id="rId14" Type="http://schemas.openxmlformats.org/officeDocument/2006/relationships/hyperlink" Target="https://renewal.idolbom.go.kr/front/biz/stts" TargetMode="External"/><Relationship Id="rId15" Type="http://schemas.openxmlformats.org/officeDocument/2006/relationships/hyperlink" Target="https://idolbom.go.kr/front/biz/srvcGuide" TargetMode="External"/><Relationship Id="rId16" Type="http://schemas.openxmlformats.org/officeDocument/2006/relationships/hyperlink" Target="https://idolbom.go.kr/front/srvcGuide" TargetMode="External"/><Relationship Id="rId17" Type="http://schemas.openxmlformats.org/officeDocument/2006/relationships/hyperlink" Target="https://mods.go.kr/board.es?act=view&amp;bid=210&amp;list_no=446335&amp;mid=a10301030200" TargetMode="External"/><Relationship Id="rId18" Type="http://schemas.openxmlformats.org/officeDocument/2006/relationships/hyperlink" Target="https://www.kordi.or.kr/content.do?cmsId=400" TargetMode="External"/><Relationship Id="rId19" Type="http://schemas.openxmlformats.org/officeDocument/2006/relationships/hyperlink" Target="https://www.easylaw.go.kr/CSP/CnpClsMain.laf?ccfNo=4&amp;cciNo=1&amp;cnpClsNo=2&amp;csmSeq=1126&amp;popMenu=ov" TargetMode="External"/><Relationship Id="rId20" Type="http://schemas.openxmlformats.org/officeDocument/2006/relationships/hyperlink" Target="https://www.law.go.kr/lsLinkCommonInfo.do?chrClsCd=010202&amp;lsJoLnkSeq=1033126351" TargetMode="External"/><Relationship Id="rId21" Type="http://schemas.openxmlformats.org/officeDocument/2006/relationships/hyperlink" Target="https://www.law.go.kr/lsLinkCommonInfo.do?lsJoLnkSeq=1029405807" TargetMode="External"/><Relationship Id="rId22" Type="http://schemas.openxmlformats.org/officeDocument/2006/relationships/hyperlink" Target="https://law.go.kr/LSW/lsSideInfoP.do?docCls=jo&amp;joBrNo=00&amp;joNo=0006&amp;lsiSeq=285395&amp;urlMode=lsScJoRltInfoR" TargetMode="External"/><Relationship Id="rId23" Type="http://schemas.openxmlformats.org/officeDocument/2006/relationships/hyperlink" Target="https://www.law.go.kr/LSW/lsLinkCommonInfo.do?lspttninfSeq=191271" TargetMode="External"/><Relationship Id="rId24" Type="http://schemas.openxmlformats.org/officeDocument/2006/relationships/hyperlink" Target="https://ssc.go.kr/home/kor/contents.do?menuPos=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