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  <w:jc w:val="center"/>
      </w:pPr>
      <w:r>
        <w:rPr>
          <w:rFonts w:ascii="맑은 고딕" w:hAnsi="맑은 고딕"/>
          <w:b/>
          <w:color w:val="17365D"/>
          <w:sz w:val="32"/>
        </w:rPr>
        <w:t>서울 택시 공급구조 개편 정책제안</w:t>
      </w:r>
    </w:p>
    <w:p>
      <w:pPr>
        <w:spacing w:after="120"/>
        <w:jc w:val="center"/>
      </w:pPr>
      <w:r>
        <w:rPr>
          <w:rFonts w:ascii="맑은 고딕" w:hAnsi="맑은 고딕"/>
          <w:color w:val="666666"/>
          <w:sz w:val="17"/>
        </w:rPr>
        <w:t>국민신문고 제출용 · 1페이지 정책요약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5" w:space="0" w:color="17365D"/>
          <w:left w:val="single" w:sz="5" w:space="0" w:color="17365D"/>
          <w:bottom w:val="single" w:sz="5" w:space="0" w:color="17365D"/>
          <w:right w:val="single" w:sz="5" w:space="0" w:color="17365D"/>
          <w:insideH w:val="single" w:sz="5" w:space="0" w:color="17365D"/>
          <w:insideV w:val="single" w:sz="5" w:space="0" w:color="17365D"/>
        </w:tblBorders>
      </w:tblPr>
      <w:tblGrid>
        <w:gridCol w:w="5188"/>
        <w:gridCol w:w="5188"/>
      </w:tblGrid>
      <w:tr>
        <w:trPr>
          <w:trHeight w:val="351" w:hRule="exact"/>
        </w:trPr>
        <w:tc>
          <w:tcPr>
            <w:tcW w:type="dxa" w:w="1701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정책 핵심</w:t>
            </w:r>
          </w:p>
        </w:tc>
        <w:tc>
          <w:tcPr>
            <w:tcW w:type="dxa" w:w="8561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6"/>
              </w:rPr>
              <w:t>평상시 구조적 초과공급은 법인택시 중심으로 순수감차</w:t>
            </w:r>
          </w:p>
        </w:tc>
      </w:tr>
      <w:tr>
        <w:trPr>
          <w:trHeight w:val="351" w:hRule="exact"/>
        </w:trPr>
        <w:tc>
          <w:tcPr>
            <w:tcW w:type="dxa" w:w="1701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피크 대응</w:t>
            </w:r>
          </w:p>
        </w:tc>
        <w:tc>
          <w:tcPr>
            <w:tcW w:type="dxa" w:w="8561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6"/>
              </w:rPr>
              <w:t>심야·주말 등 수요 집중시간은 탄력운행으로 공급 보완</w:t>
            </w:r>
          </w:p>
        </w:tc>
      </w:tr>
      <w:tr>
        <w:trPr>
          <w:trHeight w:val="351" w:hRule="exact"/>
        </w:trPr>
        <w:tc>
          <w:tcPr>
            <w:tcW w:type="dxa" w:w="1701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기사 보호</w:t>
            </w:r>
          </w:p>
        </w:tc>
        <w:tc>
          <w:tcPr>
            <w:tcW w:type="dxa" w:w="8561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6"/>
              </w:rPr>
              <w:t>법인기사의 개인택시 전환·교육·금융 지원 병행</w:t>
            </w:r>
          </w:p>
        </w:tc>
      </w:tr>
      <w:tr>
        <w:trPr>
          <w:trHeight w:val="351" w:hRule="exact"/>
        </w:trPr>
        <w:tc>
          <w:tcPr>
            <w:tcW w:type="dxa" w:w="1701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정책 원칙</w:t>
            </w:r>
          </w:p>
        </w:tc>
        <w:tc>
          <w:tcPr>
            <w:tcW w:type="dxa" w:w="8561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/>
                <w:color w:val="1F1F1F"/>
                <w:sz w:val="16"/>
              </w:rPr>
              <w:t>‘차량 수’가 아니라 ‘필요한 이동을 효율적으로 제공’하는 것을 기준으로 총량 관리</w:t>
            </w:r>
          </w:p>
        </w:tc>
      </w:tr>
    </w:tbl>
    <w:p>
      <w:pPr>
        <w:spacing w:before="100" w:after="40"/>
      </w:pPr>
      <w:r>
        <w:rPr>
          <w:rFonts w:ascii="맑은 고딕" w:hAnsi="맑은 고딕"/>
          <w:b/>
          <w:color w:val="17365D"/>
          <w:sz w:val="20"/>
        </w:rPr>
        <w:t>1. 현황과 문제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5" w:space="0" w:color="17365D"/>
          <w:left w:val="single" w:sz="5" w:space="0" w:color="17365D"/>
          <w:bottom w:val="single" w:sz="5" w:space="0" w:color="17365D"/>
          <w:right w:val="single" w:sz="5" w:space="0" w:color="17365D"/>
          <w:insideH w:val="single" w:sz="5" w:space="0" w:color="17365D"/>
          <w:insideV w:val="single" w:sz="5" w:space="0" w:color="17365D"/>
        </w:tblBorders>
      </w:tblPr>
      <w:tblGrid>
        <w:gridCol w:w="3459"/>
        <w:gridCol w:w="3459"/>
        <w:gridCol w:w="3459"/>
      </w:tblGrid>
      <w:tr>
        <w:tc>
          <w:tcPr>
            <w:tcW w:type="dxa" w:w="2041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현상</w:t>
            </w:r>
          </w:p>
        </w:tc>
        <w:tc>
          <w:tcPr>
            <w:tcW w:type="dxa" w:w="3402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발생 문제</w:t>
            </w:r>
          </w:p>
        </w:tc>
        <w:tc>
          <w:tcPr>
            <w:tcW w:type="dxa" w:w="4819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정책적 판단</w:t>
            </w:r>
          </w:p>
        </w:tc>
      </w:tr>
      <w:tr>
        <w:tc>
          <w:tcPr>
            <w:tcW w:type="dxa" w:w="2041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평상시 공급과잉</w:t>
            </w:r>
          </w:p>
        </w:tc>
        <w:tc>
          <w:tcPr>
            <w:tcW w:type="dxa" w:w="3402"/>
            <w:shd w:fill="F7F9FB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빈차 주행·불필요한 도로 점유</w:t>
            </w:r>
          </w:p>
        </w:tc>
        <w:tc>
          <w:tcPr>
            <w:tcW w:type="dxa" w:w="4819"/>
            <w:shd w:fill="F7F9FB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초과공급을 줄일 필요</w:t>
            </w:r>
          </w:p>
        </w:tc>
      </w:tr>
      <w:tr>
        <w:tc>
          <w:tcPr>
            <w:tcW w:type="dxa" w:w="2041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특정 피크시간</w:t>
            </w:r>
          </w:p>
        </w:tc>
        <w:tc>
          <w:tcPr>
            <w:tcW w:type="dxa" w:w="3402"/>
            <w:shd w:fill="FFFFFF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일시적 공급부족</w:t>
            </w:r>
          </w:p>
        </w:tc>
        <w:tc>
          <w:tcPr>
            <w:tcW w:type="dxa" w:w="4819"/>
            <w:shd w:fill="FFFFFF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전체 차량 유지보다 탄력공급</w:t>
            </w:r>
          </w:p>
        </w:tc>
      </w:tr>
      <w:tr>
        <w:tc>
          <w:tcPr>
            <w:tcW w:type="dxa" w:w="2041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법인택시 구조</w:t>
            </w:r>
          </w:p>
        </w:tc>
        <w:tc>
          <w:tcPr>
            <w:tcW w:type="dxa" w:w="3402"/>
            <w:shd w:fill="F7F9FB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저소득·장시간 노동 + 공급 경직성</w:t>
            </w:r>
          </w:p>
        </w:tc>
        <w:tc>
          <w:tcPr>
            <w:tcW w:type="dxa" w:w="4819"/>
            <w:shd w:fill="F7F9FB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법인 중심 구조조정 검토</w:t>
            </w:r>
          </w:p>
        </w:tc>
      </w:tr>
    </w:tbl>
    <w:p>
      <w:pPr>
        <w:spacing w:before="100" w:after="40"/>
      </w:pPr>
      <w:r>
        <w:rPr>
          <w:rFonts w:ascii="맑은 고딕" w:hAnsi="맑은 고딕"/>
          <w:b/>
          <w:color w:val="17365D"/>
          <w:sz w:val="20"/>
        </w:rPr>
        <w:t>2. 개선방안 및 기대효과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5" w:space="0" w:color="17365D"/>
          <w:left w:val="single" w:sz="5" w:space="0" w:color="17365D"/>
          <w:bottom w:val="single" w:sz="5" w:space="0" w:color="17365D"/>
          <w:right w:val="single" w:sz="5" w:space="0" w:color="17365D"/>
          <w:insideH w:val="single" w:sz="5" w:space="0" w:color="17365D"/>
          <w:insideV w:val="single" w:sz="5" w:space="0" w:color="17365D"/>
        </w:tblBorders>
      </w:tblPr>
      <w:tblGrid>
        <w:gridCol w:w="3459"/>
        <w:gridCol w:w="3459"/>
        <w:gridCol w:w="3459"/>
      </w:tblGrid>
      <w:tr>
        <w:tc>
          <w:tcPr>
            <w:tcW w:type="dxa" w:w="1927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정책</w:t>
            </w:r>
          </w:p>
        </w:tc>
        <w:tc>
          <w:tcPr>
            <w:tcW w:type="dxa" w:w="4592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실행</w:t>
            </w:r>
          </w:p>
        </w:tc>
        <w:tc>
          <w:tcPr>
            <w:tcW w:type="dxa" w:w="3742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기대효과</w:t>
            </w:r>
          </w:p>
        </w:tc>
      </w:tr>
      <w:tr>
        <w:tc>
          <w:tcPr>
            <w:tcW w:type="dxa" w:w="1927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법인택시 순수감차</w:t>
            </w:r>
          </w:p>
        </w:tc>
        <w:tc>
          <w:tcPr>
            <w:tcW w:type="dxa" w:w="4592"/>
            <w:shd w:fill="F7F9FB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휴업·저가동 법인면허부터 단계적 감차</w:t>
            </w:r>
          </w:p>
        </w:tc>
        <w:tc>
          <w:tcPr>
            <w:tcW w:type="dxa" w:w="3742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공차주행·도로 점유 감소</w:t>
            </w:r>
          </w:p>
        </w:tc>
      </w:tr>
      <w:tr>
        <w:tc>
          <w:tcPr>
            <w:tcW w:type="dxa" w:w="1927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피크 탄력공급</w:t>
            </w:r>
          </w:p>
        </w:tc>
        <w:tc>
          <w:tcPr>
            <w:tcW w:type="dxa" w:w="4592"/>
            <w:shd w:fill="FFFFFF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심야·주말 등 수요 집중시간 운행 유도</w:t>
            </w:r>
          </w:p>
        </w:tc>
        <w:tc>
          <w:tcPr>
            <w:tcW w:type="dxa" w:w="3742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승객 대기시간 악화 방지</w:t>
            </w:r>
          </w:p>
        </w:tc>
      </w:tr>
      <w:tr>
        <w:tc>
          <w:tcPr>
            <w:tcW w:type="dxa" w:w="1927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기사 전환지원</w:t>
            </w:r>
          </w:p>
        </w:tc>
        <w:tc>
          <w:tcPr>
            <w:tcW w:type="dxa" w:w="4592"/>
            <w:shd w:fill="F7F9FB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개인택시 전환·교육·금융 지원</w:t>
            </w:r>
          </w:p>
        </w:tc>
        <w:tc>
          <w:tcPr>
            <w:tcW w:type="dxa" w:w="3742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일자리 충격 완화·일자리 질 개선</w:t>
            </w:r>
          </w:p>
        </w:tc>
      </w:tr>
      <w:tr>
        <w:tc>
          <w:tcPr>
            <w:tcW w:type="dxa" w:w="1927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데이터 기반 총량관리</w:t>
            </w:r>
          </w:p>
        </w:tc>
        <w:tc>
          <w:tcPr>
            <w:tcW w:type="dxa" w:w="4592"/>
            <w:shd w:fill="FFFFFF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수요·공급·공차율·공차거리 측정</w:t>
            </w:r>
          </w:p>
        </w:tc>
        <w:tc>
          <w:tcPr>
            <w:tcW w:type="dxa" w:w="3742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감차 규모의 객관성 확보</w:t>
            </w:r>
          </w:p>
        </w:tc>
      </w:tr>
      <w:tr>
        <w:tc>
          <w:tcPr>
            <w:tcW w:type="dxa" w:w="1927"/>
            <w:shd w:fill="EAF2F8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시범사업·사후평가</w:t>
            </w:r>
          </w:p>
        </w:tc>
        <w:tc>
          <w:tcPr>
            <w:tcW w:type="dxa" w:w="4592"/>
            <w:shd w:fill="F7F9FB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교통·환경·에너지·소득 효과 측정 후 확대</w:t>
            </w:r>
          </w:p>
        </w:tc>
        <w:tc>
          <w:tcPr>
            <w:tcW w:type="dxa" w:w="3742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left"/>
            </w:pPr>
            <w:r/>
            <w:r>
              <w:rPr>
                <w:rFonts w:ascii="맑은 고딕" w:hAnsi="맑은 고딕"/>
                <w:b w:val="0"/>
                <w:color w:val="1F1F1F"/>
                <w:sz w:val="15"/>
              </w:rPr>
              <w:t>실패 위험 최소화</w:t>
            </w:r>
          </w:p>
        </w:tc>
      </w:tr>
    </w:tbl>
    <w:p>
      <w:pPr>
        <w:spacing w:before="100" w:after="40"/>
      </w:pPr>
      <w:r>
        <w:rPr>
          <w:rFonts w:ascii="맑은 고딕" w:hAnsi="맑은 고딕"/>
          <w:b/>
          <w:color w:val="17365D"/>
          <w:sz w:val="20"/>
        </w:rPr>
        <w:t>3. 핵심 성과지표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5" w:space="0" w:color="17365D"/>
          <w:left w:val="single" w:sz="5" w:space="0" w:color="17365D"/>
          <w:bottom w:val="single" w:sz="5" w:space="0" w:color="17365D"/>
          <w:right w:val="single" w:sz="5" w:space="0" w:color="17365D"/>
          <w:insideH w:val="single" w:sz="5" w:space="0" w:color="17365D"/>
          <w:insideV w:val="single" w:sz="5" w:space="0" w:color="17365D"/>
        </w:tblBorders>
      </w:tblPr>
      <w:tblGrid>
        <w:gridCol w:w="2075"/>
        <w:gridCol w:w="2075"/>
        <w:gridCol w:w="2075"/>
        <w:gridCol w:w="2075"/>
        <w:gridCol w:w="2075"/>
      </w:tblGrid>
      <w:tr>
        <w:tc>
          <w:tcPr>
            <w:tcW w:type="dxa" w:w="2126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교통</w:t>
            </w:r>
          </w:p>
        </w:tc>
        <w:tc>
          <w:tcPr>
            <w:tcW w:type="dxa" w:w="2126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환경</w:t>
            </w:r>
          </w:p>
        </w:tc>
        <w:tc>
          <w:tcPr>
            <w:tcW w:type="dxa" w:w="2126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에너지</w:t>
            </w:r>
          </w:p>
        </w:tc>
        <w:tc>
          <w:tcPr>
            <w:tcW w:type="dxa" w:w="2126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노동</w:t>
            </w:r>
          </w:p>
        </w:tc>
        <w:tc>
          <w:tcPr>
            <w:tcW w:type="dxa" w:w="2126"/>
            <w:shd w:fill="17365D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FFFFFF"/>
                <w:sz w:val="16"/>
              </w:rPr>
              <w:t>서비스</w:t>
            </w:r>
          </w:p>
        </w:tc>
      </w:tr>
      <w:tr>
        <w:tc>
          <w:tcPr>
            <w:tcW w:type="dxa" w:w="2126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공차주행·도로주행량 ↓</w:t>
            </w:r>
          </w:p>
        </w:tc>
        <w:tc>
          <w:tcPr>
            <w:tcW w:type="dxa" w:w="2126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배출량 ↓</w:t>
            </w:r>
          </w:p>
        </w:tc>
        <w:tc>
          <w:tcPr>
            <w:tcW w:type="dxa" w:w="2126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연료·전력 소비 ↓</w:t>
            </w:r>
          </w:p>
        </w:tc>
        <w:tc>
          <w:tcPr>
            <w:tcW w:type="dxa" w:w="2126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시간당 소득 ↑</w:t>
            </w:r>
          </w:p>
        </w:tc>
        <w:tc>
          <w:tcPr>
            <w:tcW w:type="dxa" w:w="2126"/>
            <w:shd w:fill="E2F0D9"/>
            <w:tcMar>
              <w:top w:w="55" w:type="dxa"/>
              <w:start w:w="55" w:type="dxa"/>
              <w:bottom w:w="55" w:type="dxa"/>
              <w:end w:w="55" w:type="dxa"/>
            </w:tcMar>
            <w:vAlign w:val="center"/>
          </w:tcPr>
          <w:p>
            <w:pPr>
              <w:spacing w:after="0" w:before="0"/>
              <w:jc w:val="center"/>
            </w:pPr>
            <w:r/>
            <w:r>
              <w:rPr>
                <w:rFonts w:ascii="맑은 고딕" w:hAnsi="맑은 고딕"/>
                <w:b/>
                <w:color w:val="1F1F1F"/>
                <w:sz w:val="15"/>
              </w:rPr>
              <w:t>피크 대기시간 악화 방지</w:t>
            </w:r>
          </w:p>
        </w:tc>
      </w:tr>
    </w:tbl>
    <w:p>
      <w:pPr>
        <w:spacing w:before="120" w:after="20"/>
      </w:pPr>
      <w:r>
        <w:rPr>
          <w:rFonts w:ascii="맑은 고딕" w:hAnsi="맑은 고딕"/>
          <w:b/>
          <w:color w:val="17365D"/>
          <w:sz w:val="18"/>
        </w:rPr>
        <w:t xml:space="preserve">정책 결론  </w:t>
      </w:r>
      <w:r>
        <w:rPr>
          <w:rFonts w:ascii="맑은 고딕" w:hAnsi="맑은 고딕"/>
          <w:b/>
          <w:color w:val="1F1F1F"/>
          <w:sz w:val="17"/>
        </w:rPr>
        <w:t>평상시 초과공급은 줄이고, 피크시간 공급은 탄력적으로 보완한다. 법인택시 중심 순수감차를 통해 교통·환경·에너지·노동·서비스 효율을 동시에 개선한다.</w:t>
      </w:r>
    </w:p>
    <w:p>
      <w:pPr>
        <w:spacing w:before="40" w:after="0"/>
      </w:pPr>
      <w:r>
        <w:rPr>
          <w:rFonts w:ascii="맑은 고딕" w:hAnsi="맑은 고딕"/>
          <w:i/>
          <w:color w:val="666666"/>
          <w:sz w:val="15"/>
        </w:rPr>
        <w:t>※ 감차 규모는 최신 시간대별 수요·공급·공차거리 자료를 이용한 실증분석 후 결정.</w:t>
      </w:r>
    </w:p>
    <w:p>
      <w:r>
        <w:br w:type="page"/>
      </w:r>
    </w:p>
    <w:sectPr w:rsidR="00FC693F" w:rsidRPr="0006063C" w:rsidSect="00034616">
      <w:pgSz w:w="11906" w:h="16838"/>
      <w:pgMar w:top="850" w:right="964" w:bottom="850" w:left="964" w:header="720" w:footer="720" w:gutter="0"/>
      <w:cols w:space="720"/>
      <w:docGrid w:linePitch="360"/>
    </w:sectPr>
    <w:p>
      <w:pPr>
        <w:jc w:val="center"/>
      </w:pPr>
      <w:r>
        <w:rPr>
          <w:b/>
          <w:color w:val="17365D"/>
          <w:sz w:val="40"/>
        </w:rPr>
        <w:t>서울 택시 공급구조 개편 정책제안</w:t>
      </w:r>
    </w:p>
    <w:p>
      <w:pPr>
        <w:jc w:val="center"/>
      </w:pPr>
      <w:r>
        <w:rPr>
          <w:b/>
          <w:color w:val="17365D"/>
          <w:sz w:val="24"/>
        </w:rPr>
        <w:t>법인택시 중심 순수감차를 통한 교통·환경·노동 효율 개선</w:t>
      </w:r>
    </w:p>
    <w:p>
      <w:pPr>
        <w:jc w:val="center"/>
      </w:pPr>
      <w:r>
        <w:rPr>
          <w:i/>
        </w:rPr>
        <w:t>국회·정부 정책검토용 제안서</w:t>
      </w:r>
    </w:p>
    <w:p>
      <w:pPr>
        <w:pStyle w:val="Heading1"/>
      </w:pPr>
      <w:r>
        <w:rPr>
          <w:b/>
          <w:color w:val="17365D"/>
        </w:rPr>
        <w:t>1. 제안 요지</w:t>
      </w:r>
    </w:p>
    <w:p>
      <w:r>
        <w:rPr>
          <w:b/>
          <w:color w:val="17365D"/>
        </w:rPr>
        <w:t xml:space="preserve">핵심 제안: </w:t>
      </w:r>
      <w:r>
        <w:rPr>
          <w:b/>
          <w:color w:val="17365D"/>
        </w:rPr>
        <w:t>평상시 구조적 초과공급이 발생하는 택시시장에서 법인택시를 우선 순수감차하고, 피크시간에는 탄력적 운행으로 공급을 보완한다.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  <w:tblGrid>
        <w:gridCol w:w="3400"/>
        <w:gridCol w:w="3400"/>
        <w:gridCol w:w="3400"/>
      </w:tblGrid>
      <w:tr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문제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정책 전환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핵심 효과</w:t>
            </w:r>
          </w:p>
        </w:tc>
      </w:tr>
      <w:tr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평상시 초과공급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법인택시 우선 감차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불필요한 차량 감소</w:t>
            </w:r>
          </w:p>
        </w:tc>
      </w:tr>
      <w:tr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빈차 배회·공차주행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수요 시간대 중심 운행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연료·전력 소비 감소</w:t>
            </w:r>
          </w:p>
        </w:tc>
      </w:tr>
      <w:tr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도로 위 불필요한 차량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피크시간 탄력공급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교통혼잡 완화</w:t>
            </w:r>
          </w:p>
        </w:tc>
      </w:tr>
      <w:tr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법인택시의 장시간·저소득 구조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전환·재취업 지원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일자리 질 개선</w:t>
            </w:r>
          </w:p>
        </w:tc>
      </w:tr>
    </w:tbl>
    <w:p>
      <w:pPr>
        <w:pStyle w:val="Heading1"/>
      </w:pPr>
      <w:r>
        <w:rPr>
          <w:b/>
          <w:color w:val="17365D"/>
        </w:rPr>
        <w:t>2. 핵심 문제: 택시의 ‘수송’보다 ‘공차 이동’이 문제다</w:t>
      </w:r>
    </w:p>
    <w:p>
      <w:r>
        <w:t>택시는 승객을 태운 이동만이 사회적 수송서비스를 제공한다.</w:t>
      </w:r>
    </w:p>
    <w:p>
      <w:r>
        <w:rPr>
          <w:b/>
          <w:color w:val="17365D"/>
        </w:rPr>
        <w:t>수요가 낮은 시간대의 빈차 주행은 승객을 수송하지 않으면서 연료·전력과 도로 공간을 소비한다.</w:t>
      </w:r>
    </w:p>
    <w:p>
      <w:r>
        <w:t>빈차 택시가 늘수록 동일한 승객 수송에 필요한 차량 주행거리가 증가한다.</w:t>
      </w:r>
    </w:p>
    <w:p>
      <w:r>
        <w:rPr>
          <w:b/>
          <w:color w:val="17365D"/>
        </w:rPr>
        <w:t>이는 교통혼잡과 에너지 낭비를 동시에 키운다.</w:t>
      </w:r>
    </w:p>
    <w:p>
      <w:pPr>
        <w:pStyle w:val="Heading1"/>
      </w:pPr>
      <w:r>
        <w:rPr>
          <w:b/>
          <w:color w:val="17365D"/>
        </w:rPr>
        <w:t>3. 교통·환경 측면의 정책 효과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  <w:tblGrid>
        <w:gridCol w:w="2550"/>
        <w:gridCol w:w="2550"/>
        <w:gridCol w:w="2550"/>
        <w:gridCol w:w="2550"/>
      </w:tblGrid>
      <w:tr>
        <w:tc>
          <w:tcPr>
            <w:tcW w:type="dxa" w:w="255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구분</w:t>
            </w:r>
          </w:p>
        </w:tc>
        <w:tc>
          <w:tcPr>
            <w:tcW w:type="dxa" w:w="255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현재 초과공급</w:t>
            </w:r>
          </w:p>
        </w:tc>
        <w:tc>
          <w:tcPr>
            <w:tcW w:type="dxa" w:w="255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감차 후</w:t>
            </w:r>
          </w:p>
        </w:tc>
        <w:tc>
          <w:tcPr>
            <w:tcW w:type="dxa" w:w="255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기대 효과</w:t>
            </w:r>
          </w:p>
        </w:tc>
      </w:tr>
      <w:tr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도로</w:t>
            </w:r>
          </w:p>
        </w:tc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빈차 택시가 도로 점유</w:t>
            </w:r>
          </w:p>
        </w:tc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불필요한 주행 감소</w:t>
            </w:r>
          </w:p>
        </w:tc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교통흐름 개선</w:t>
            </w:r>
          </w:p>
        </w:tc>
      </w:tr>
      <w:tr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에너지</w:t>
            </w:r>
          </w:p>
        </w:tc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승객 없는 주행에도 소비</w:t>
            </w:r>
          </w:p>
        </w:tc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공차거리 감소</w:t>
            </w:r>
          </w:p>
        </w:tc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연료·전력 절감</w:t>
            </w:r>
          </w:p>
        </w:tc>
      </w:tr>
      <w:tr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환경</w:t>
            </w:r>
          </w:p>
        </w:tc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불필요한 배출 발생</w:t>
            </w:r>
          </w:p>
        </w:tc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차량 운행거리 감소</w:t>
            </w:r>
          </w:p>
        </w:tc>
        <w:tc>
          <w:tcPr>
            <w:tcW w:type="dxa" w:w="255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배출량 감소</w:t>
            </w:r>
          </w:p>
        </w:tc>
      </w:tr>
      <w:tr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수송효율</w:t>
            </w:r>
          </w:p>
        </w:tc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많은 차량이 적은 수요를 분담</w:t>
            </w:r>
          </w:p>
        </w:tc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적은 차량이 동일 수요 담당</w:t>
            </w:r>
          </w:p>
        </w:tc>
        <w:tc>
          <w:tcPr>
            <w:tcW w:type="dxa" w:w="255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차량당 가동률 상승</w:t>
            </w:r>
          </w:p>
        </w:tc>
      </w:tr>
    </w:tbl>
    <w:p>
      <w:r>
        <w:rPr>
          <w:b/>
          <w:color w:val="17365D"/>
        </w:rPr>
        <w:t xml:space="preserve">특히 중요한 점: </w:t>
      </w:r>
      <w:r>
        <w:t>전기택시 확대만으로는 도로 공간의 비효율이 사라지지 않는다. 차량 자체의 불필요한 이동을 줄이는 것이 교통효율 측면에서 별도의 정책 목표가 되어야 한다.</w:t>
      </w:r>
    </w:p>
    <w:p>
      <w:pPr>
        <w:pStyle w:val="Heading1"/>
      </w:pPr>
      <w:r>
        <w:rPr>
          <w:b/>
          <w:color w:val="17365D"/>
        </w:rPr>
        <w:t>4. 왜 법인택시를 우선 감차하는가</w:t>
      </w:r>
    </w:p>
    <w:tbl>
      <w:tblPr>
        <w:tblW w:w="0" w:type="auto"/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  <w:tr>
        <w:tc>
          <w:tcPr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FFFFFF"/>
                <w:sz w:val="18"/>
                <w:b/>
              </w:rPr>
              <w:t>기준</w:t>
            </w:r>
          </w:p>
        </w:tc>
        <w:tc>
          <w:tcPr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FFFFFF"/>
                <w:sz w:val="18"/>
                <w:b/>
              </w:rPr>
              <w:t>법인택시</w:t>
            </w:r>
          </w:p>
        </w:tc>
        <w:tc>
          <w:tcPr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FFFFFF"/>
                <w:sz w:val="18"/>
                <w:b/>
              </w:rPr>
              <w:t>개인택시</w:t>
            </w:r>
          </w:p>
        </w:tc>
        <w:tc>
          <w:tcPr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FFFFFF"/>
                <w:sz w:val="18"/>
                <w:b/>
              </w:rPr>
              <w:t>정책 방향</w:t>
            </w:r>
          </w:p>
        </w:tc>
      </w:tr>
      <w:tr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1F1F1F"/>
                <w:sz w:val="18"/>
                <w:b/>
              </w:rPr>
              <w:t>수요 변화 대응</w:t>
            </w:r>
          </w:p>
        </w:tc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근무시간 제약으로 상대적으로 경직</w:t>
            </w:r>
          </w:p>
        </w:tc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운행·휴식 선택이 상대적으로 자유로움</w:t>
            </w:r>
          </w:p>
        </w:tc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탄력적 공급은 개인택시 중심으로 유도</w:t>
            </w:r>
          </w:p>
        </w:tc>
      </w:tr>
      <w:tr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1F1F1F"/>
                <w:sz w:val="18"/>
                <w:b/>
              </w:rPr>
              <w:t>수요가 낮은 시간</w:t>
            </w:r>
          </w:p>
        </w:tc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운행 지속 시 공차주행 가능성</w:t>
            </w:r>
          </w:p>
        </w:tc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운행 중단·대기 등 선택 가능</w:t>
            </w:r>
          </w:p>
        </w:tc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불필요한 공급은 법인부터 감축</w:t>
            </w:r>
          </w:p>
        </w:tc>
      </w:tr>
      <w:tr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1F1F1F"/>
                <w:sz w:val="18"/>
                <w:b/>
              </w:rPr>
              <w:t>일자리 구조</w:t>
            </w:r>
          </w:p>
        </w:tc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고용형태의 장시간·저소득 문제</w:t>
            </w:r>
          </w:p>
        </w:tc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개인사업자 형태의 자율성</w:t>
            </w:r>
          </w:p>
        </w:tc>
        <w:tc>
          <w:tcPr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법인기사의 개인택시 전환 지원</w:t>
            </w:r>
          </w:p>
        </w:tc>
      </w:tr>
      <w:tr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color w:val="1F1F1F"/>
                <w:sz w:val="18"/>
                <w:b/>
              </w:rPr>
              <w:t>감차의 사회적 비용</w:t>
            </w:r>
          </w:p>
        </w:tc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휴업·저가동 면허 정리 가능</w:t>
            </w:r>
          </w:p>
        </w:tc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실제 서비스 공급 기반으로 유지</w:t>
            </w:r>
          </w:p>
        </w:tc>
        <w:tc>
          <w:tcPr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1F1F1F"/>
                <w:sz w:val="18"/>
              </w:rPr>
              <w:t>사회적 비용이 큰 공급부터 조정</w:t>
            </w:r>
          </w:p>
        </w:tc>
      </w:tr>
    </w:tbl>
    <w:p>
      <w:pPr>
        <w:pStyle w:val="Heading1"/>
      </w:pPr>
      <w:r>
        <w:rPr>
          <w:b/>
          <w:color w:val="17365D"/>
        </w:rPr>
        <w:t>5. 피크시간은 ‘전체 차량 유지’가 아니라 ‘탄력공급’으로 대응</w:t>
      </w:r>
    </w:p>
    <w:p>
      <w:r>
        <w:rPr>
          <w:b/>
          <w:color w:val="17365D"/>
        </w:rPr>
        <w:t xml:space="preserve">원칙: </w:t>
      </w:r>
      <w:r>
        <w:t>특정 시간의 높은 수요 때문에 하루 전체의 택시 공급을 과잉 유지하지 않는다.</w:t>
      </w:r>
    </w:p>
    <w:tbl>
      <w:tblPr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</w:tbl>
    <w:tbl>
      <w:tblPr>
        <w:tblW w:type="auto" w:w="0"/>
        <w:tblLook w:firstColumn="1" w:firstRow="1" w:lastColumn="0" w:lastRow="0" w:noHBand="0" w:noVBand="1" w:val="04A0"/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  <w:tblGrid>
        <w:gridCol w:w="2550"/>
        <w:gridCol w:w="2550"/>
        <w:gridCol w:w="2550"/>
        <w:gridCol w:w="2550"/>
      </w:tblGrid>
      <w:tr>
        <w:tc>
          <w:tcPr>
            <w:tcW w:type="dxa" w:w="2550"/>
            <w:vAlign w:val="center"/>
            <w:shd w:fill="17365D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기준</w:t>
            </w:r>
          </w:p>
        </w:tc>
        <w:tc>
          <w:tcPr>
            <w:tcW w:type="dxa" w:w="2550"/>
            <w:vAlign w:val="center"/>
            <w:shd w:fill="17365D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법인택시</w:t>
            </w:r>
          </w:p>
        </w:tc>
        <w:tc>
          <w:tcPr>
            <w:tcW w:type="dxa" w:w="2550"/>
            <w:vAlign w:val="center"/>
            <w:shd w:fill="17365D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개인택시</w:t>
            </w:r>
          </w:p>
        </w:tc>
        <w:tc>
          <w:tcPr>
            <w:tcW w:type="dxa" w:w="2550"/>
            <w:vAlign w:val="center"/>
            <w:shd w:fill="17365D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정책 방향</w:t>
            </w:r>
          </w:p>
        </w:tc>
      </w:tr>
      <w:tr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수요 변화 대응</w:t>
            </w:r>
          </w:p>
        </w:tc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근무시간 제약으로 상대적으로 경직</w:t>
            </w:r>
          </w:p>
        </w:tc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운행·휴식 선택이 상대적으로 자유로움</w:t>
            </w:r>
          </w:p>
        </w:tc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탄력적 공급은 개인택시 중심으로 유도</w:t>
            </w:r>
          </w:p>
        </w:tc>
      </w:tr>
      <w:tr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수요가 낮은 시간</w:t>
            </w:r>
          </w:p>
        </w:tc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운행 지속 시 공차주행 가능성</w:t>
            </w:r>
          </w:p>
        </w:tc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운행 중단·대기 등 선택 가능</w:t>
            </w:r>
          </w:p>
        </w:tc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불필요한 공급은 법인부터 감축</w:t>
            </w:r>
          </w:p>
        </w:tc>
      </w:tr>
      <w:tr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일자리 구조</w:t>
            </w:r>
          </w:p>
        </w:tc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고용형태의 장시간·저소득 문제</w:t>
            </w:r>
          </w:p>
        </w:tc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개인사업자 형태의 자율성</w:t>
            </w:r>
          </w:p>
        </w:tc>
        <w:tc>
          <w:tcPr>
            <w:tcW w:type="dxa" w:w="255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법인기사의 개인택시 전환 지원</w:t>
            </w:r>
          </w:p>
        </w:tc>
      </w:tr>
      <w:tr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감차의 사회적 비용</w:t>
            </w:r>
          </w:p>
        </w:tc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휴업·저가동 면허 정리 가능</w:t>
            </w:r>
          </w:p>
        </w:tc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실제 서비스 공급 기반으로 유지</w:t>
            </w:r>
          </w:p>
        </w:tc>
        <w:tc>
          <w:tcPr>
            <w:tcW w:type="dxa" w:w="255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사회적 비용이 큰 공급부터 조정</w:t>
            </w:r>
          </w:p>
        </w:tc>
      </w:tr>
    </w:tbl>
    <w:p>
      <w:pPr>
        <w:pStyle w:val="Heading1"/>
      </w:pPr>
      <w:r>
        <w:rPr>
          <w:b/>
          <w:color w:val="17365D"/>
        </w:rPr>
        <w:t>6. 일자리 정책과의 결합</w:t>
      </w:r>
    </w:p>
    <w:p>
      <w:r>
        <w:rPr>
          <w:b/>
          <w:color w:val="17365D"/>
        </w:rPr>
        <w:t xml:space="preserve">법인 감차의 단점은 기존 법인기사의 일자리 감소다. </w:t>
      </w:r>
      <w:r>
        <w:rPr>
          <w:b/>
          <w:color w:val="17365D"/>
        </w:rPr>
        <w:t>따라서 감차를 단순 폐업으로 끝내지 않고 개인택시 전환 정책과 연계한다.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  <w:tblGrid>
        <w:gridCol w:w="3400"/>
        <w:gridCol w:w="3400"/>
        <w:gridCol w:w="3400"/>
      </w:tblGrid>
      <w:tr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조치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목적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결과</w:t>
            </w:r>
          </w:p>
        </w:tc>
      </w:tr>
      <w:tr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법인면허 순수감차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초과공급 축소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차량·공차주행 감소</w:t>
            </w:r>
          </w:p>
        </w:tc>
      </w:tr>
      <w:tr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법인기사 전환 지원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고용 충격 완화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일자리의 질적 전환</w:t>
            </w:r>
          </w:p>
        </w:tc>
      </w:tr>
      <w:tr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피크 운행 지원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서비스 공백 방지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수요 집중시간 대응</w:t>
            </w:r>
          </w:p>
        </w:tc>
      </w:tr>
    </w:tbl>
    <w:p>
      <w:pPr>
        <w:pStyle w:val="Heading1"/>
      </w:pPr>
      <w:r>
        <w:rPr>
          <w:b/>
          <w:color w:val="17365D"/>
        </w:rPr>
        <w:t>7. 정책 추진 절차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  <w:tblGrid>
        <w:gridCol w:w="5100"/>
        <w:gridCol w:w="5100"/>
      </w:tblGrid>
      <w:tr>
        <w:tc>
          <w:tcPr>
            <w:tcW w:type="dxa" w:w="51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단계</w:t>
            </w:r>
          </w:p>
        </w:tc>
        <w:tc>
          <w:tcPr>
            <w:tcW w:type="dxa" w:w="51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내용</w:t>
            </w:r>
          </w:p>
        </w:tc>
      </w:tr>
      <w:tr>
        <w:tc>
          <w:tcPr>
            <w:tcW w:type="dxa" w:w="51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① 측정</w:t>
            </w:r>
          </w:p>
        </w:tc>
        <w:tc>
          <w:tcPr>
            <w:tcW w:type="dxa" w:w="51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시간대별 수요·운행대수·공차율·주행거리 측정</w:t>
            </w:r>
          </w:p>
        </w:tc>
      </w:tr>
      <w:tr>
        <w:tc>
          <w:tcPr>
            <w:tcW w:type="dxa" w:w="51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② 감차</w:t>
            </w:r>
          </w:p>
        </w:tc>
        <w:tc>
          <w:tcPr>
            <w:tcW w:type="dxa" w:w="51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휴업·저가동 법인면허부터 우선 순수감차</w:t>
            </w:r>
          </w:p>
        </w:tc>
      </w:tr>
      <w:tr>
        <w:tc>
          <w:tcPr>
            <w:tcW w:type="dxa" w:w="51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③ 전환</w:t>
            </w:r>
          </w:p>
        </w:tc>
        <w:tc>
          <w:tcPr>
            <w:tcW w:type="dxa" w:w="51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법인기사의 개인택시 전환·교육·금융 지원</w:t>
            </w:r>
          </w:p>
        </w:tc>
      </w:tr>
      <w:tr>
        <w:tc>
          <w:tcPr>
            <w:tcW w:type="dxa" w:w="51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④ 탄력공급</w:t>
            </w:r>
          </w:p>
        </w:tc>
        <w:tc>
          <w:tcPr>
            <w:tcW w:type="dxa" w:w="51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심야·주말 등 피크시간 운행 인센티브</w:t>
            </w:r>
          </w:p>
        </w:tc>
      </w:tr>
      <w:tr>
        <w:tc>
          <w:tcPr>
            <w:tcW w:type="dxa" w:w="51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⑤ 검증</w:t>
            </w:r>
          </w:p>
        </w:tc>
        <w:tc>
          <w:tcPr>
            <w:tcW w:type="dxa" w:w="51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공차율·혼잡·배출·기사소득·승객대기시간 재평가</w:t>
            </w:r>
          </w:p>
        </w:tc>
      </w:tr>
    </w:tbl>
    <w:p>
      <w:pPr>
        <w:pStyle w:val="Heading1"/>
      </w:pPr>
      <w:r>
        <w:rPr>
          <w:b/>
          <w:color w:val="17365D"/>
        </w:rPr>
        <w:t>8. 정책 성과지표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7365D"/>
          <w:left w:val="single" w:sz="6" w:space="0" w:color="17365D"/>
          <w:bottom w:val="single" w:sz="6" w:space="0" w:color="17365D"/>
          <w:right w:val="single" w:sz="6" w:space="0" w:color="17365D"/>
          <w:insideH w:val="single" w:sz="6" w:space="0" w:color="17365D"/>
          <w:insideV w:val="single" w:sz="6" w:space="0" w:color="17365D"/>
        </w:tblBorders>
      </w:tblPr>
      <w:tblGrid>
        <w:gridCol w:w="3400"/>
        <w:gridCol w:w="3400"/>
        <w:gridCol w:w="3400"/>
      </w:tblGrid>
      <w:tr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분야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측정지표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정책 목표</w:t>
            </w:r>
          </w:p>
        </w:tc>
      </w:tr>
      <w:tr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교통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택시 공차주행거리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감소</w:t>
            </w:r>
          </w:p>
        </w:tc>
      </w:tr>
      <w:tr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교통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택시가 차지하는 도로 주행량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감소</w:t>
            </w:r>
          </w:p>
        </w:tc>
      </w:tr>
      <w:tr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환경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차량당 연료·전력 소비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감소</w:t>
            </w:r>
          </w:p>
        </w:tc>
      </w:tr>
      <w:tr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환경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택시 운행에 따른 배출량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감소</w:t>
            </w:r>
          </w:p>
        </w:tc>
      </w:tr>
      <w:tr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서비스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피크시간 승객 대기시간</w:t>
            </w:r>
          </w:p>
        </w:tc>
        <w:tc>
          <w:tcPr>
            <w:tcW w:type="dxa" w:w="3400"/>
            <w:shd w:fill="F7F9FB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악화 없이 유지·개선</w:t>
            </w:r>
          </w:p>
        </w:tc>
      </w:tr>
      <w:tr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노동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기사 시간당 소득</w:t>
            </w:r>
          </w:p>
        </w:tc>
        <w:tc>
          <w:tcPr>
            <w:tcW w:type="dxa" w:w="3400"/>
            <w:shd w:fill="EAF2F8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개선</w:t>
            </w:r>
          </w:p>
        </w:tc>
      </w:tr>
    </w:tbl>
    <w:p>
      <w:pPr>
        <w:pStyle w:val="Heading1"/>
      </w:pPr>
      <w:r>
        <w:rPr>
          <w:b/>
          <w:color w:val="17365D"/>
        </w:rPr>
        <w:t>9. 결론</w:t>
      </w:r>
    </w:p>
    <w:p>
      <w:r>
        <w:rPr>
          <w:b/>
          <w:color w:val="17365D"/>
        </w:rPr>
        <w:t>택시정책의 목표는 ‘많은 택시를 유지하는 것’이 아니라 ‘필요한 시간과 장소에 필요한 만큼 운행하는 것’이어야 한다. 평상시 초과공급을 법인택시 중심으로 순수감차하면 불필요한 공차주행과 도로 점유를 줄일 수 있다. 이는 교통혼잡 완화와 에너지·환경 개선을 동시에 추구하는 정책이 될 수 있다. 특정 피크시간의 부족은 탄력적 운행과 호출·요금체계로 보완한다. 동시에 법인기사의 개인택시 전환을 지원해 고용 충격을 완화하고 일자리의 질을 높인다.</w:t>
      </w:r>
    </w:p>
    <w:p>
      <w:pPr>
        <w:jc w:val="right"/>
      </w:pPr>
      <w:r>
        <w:rPr>
          <w:i/>
        </w:rPr>
        <w:t>※ 시행 전 서울시 시간대별 수요·공급·공차율·주행거리 자료를 이용한 실증검증이 필요함.</w:t>
      </w:r>
    </w:p>
    <w:p>
      <w:r>
        <w:br w:type="page"/>
      </w:r>
    </w:p>
    <w:p>
      <w:pPr>
        <w:spacing w:before="200" w:after="100"/>
      </w:pPr>
      <w:r>
        <w:rPr>
          <w:rFonts w:ascii="맑은 고딕" w:hAnsi="맑은 고딕"/>
          <w:b/>
          <w:color w:val="17365D"/>
          <w:sz w:val="28"/>
        </w:rPr>
        <w:t>10. 정책 설계에서 반드시 검증할 사항</w:t>
      </w:r>
    </w:p>
    <w:p>
      <w:pPr>
        <w:spacing w:after="80"/>
      </w:pPr>
      <w:r>
        <w:rPr>
          <w:rFonts w:ascii="맑은 고딕" w:hAnsi="맑은 고딕"/>
          <w:sz w:val="21"/>
        </w:rPr>
        <w:t>감차 규모를 먼저 정하지 않는다. 실제 시간대별 데이터를 통해 ‘얼마나 줄여도 서비스가 유지되는지’를 먼저 검증한다.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검증 항목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핵심 질문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정책 판단</w:t>
            </w:r>
          </w:p>
        </w:tc>
      </w:tr>
      <w:tr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시간대별 수요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언제 택시가 실제로 필요한가?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공급 기준을 시간대별로 설정</w:t>
            </w:r>
          </w:p>
        </w:tc>
      </w:tr>
      <w:tr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공차율·공차거리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승객 없는 주행이 얼마나 발생하는가?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감차의 교통·환경 효과 산정</w:t>
            </w:r>
          </w:p>
        </w:tc>
      </w:tr>
      <w:tr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피크 부족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어떤 요일·시간에 부족한가?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탄력공급 규모 결정</w:t>
            </w:r>
          </w:p>
        </w:tc>
      </w:tr>
      <w:tr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기사 소득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감차 후 남은 기사에게 어떤 변화가 생기는가?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전환·운행 인센티브 조정</w:t>
            </w:r>
          </w:p>
        </w:tc>
      </w:tr>
      <w:tr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승객 서비스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대기시간과 배차성공률이 악화되는가?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감차 속도 조정</w:t>
            </w:r>
          </w:p>
        </w:tc>
      </w:tr>
    </w:tbl>
    <w:p>
      <w:pPr>
        <w:spacing w:before="200" w:after="100"/>
      </w:pPr>
      <w:r>
        <w:rPr>
          <w:rFonts w:ascii="맑은 고딕" w:hAnsi="맑은 고딕"/>
          <w:b/>
          <w:color w:val="17365D"/>
          <w:sz w:val="28"/>
        </w:rPr>
        <w:t>11. 예상되는 반론과 대응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예상 반론</w:t>
            </w:r>
          </w:p>
        </w:tc>
        <w:tc>
          <w:tcPr>
            <w:tcW w:type="dxa" w:w="51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정책 대응</w:t>
            </w:r>
          </w:p>
        </w:tc>
      </w:tr>
      <w:tr>
        <w:tc>
          <w:tcPr>
            <w:tcW w:type="dxa" w:w="51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피크시간에 택시가 부족해질 수 있다.</w:t>
            </w:r>
          </w:p>
        </w:tc>
        <w:tc>
          <w:tcPr>
            <w:tcW w:type="dxa" w:w="51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전체 공급을 유지하지 말고 피크시간 운행 인센티브와 호출·탄력요금으로 대응한다.</w:t>
            </w:r>
          </w:p>
        </w:tc>
      </w:tr>
      <w:tr>
        <w:tc>
          <w:tcPr>
            <w:tcW w:type="dxa" w:w="51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법인기사의 일자리가 줄어든다.</w:t>
            </w:r>
          </w:p>
        </w:tc>
        <w:tc>
          <w:tcPr>
            <w:tcW w:type="dxa" w:w="51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감차와 동시에 개인택시 전환·교육·금융 지원을 시행한다.</w:t>
            </w:r>
          </w:p>
        </w:tc>
      </w:tr>
      <w:tr>
        <w:tc>
          <w:tcPr>
            <w:tcW w:type="dxa" w:w="51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감차하면 택시요금이 오를 수 있다.</w:t>
            </w:r>
          </w:p>
        </w:tc>
        <w:tc>
          <w:tcPr>
            <w:tcW w:type="dxa" w:w="51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가격효과와 서비스 변화를 지속 측정하고 탄력공급으로 경쟁을 유지한다.</w:t>
            </w:r>
          </w:p>
        </w:tc>
      </w:tr>
      <w:tr>
        <w:tc>
          <w:tcPr>
            <w:tcW w:type="dxa" w:w="51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환경효과가 크지 않을 수 있다.</w:t>
            </w:r>
          </w:p>
        </w:tc>
        <w:tc>
          <w:tcPr>
            <w:tcW w:type="dxa" w:w="51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공차거리와 총주행거리를 사전·사후 비교해 실제 효과를 검증한다.</w:t>
            </w:r>
          </w:p>
        </w:tc>
      </w:tr>
    </w:tbl>
    <w:p>
      <w:pPr>
        <w:spacing w:before="200" w:after="100"/>
      </w:pPr>
      <w:r>
        <w:rPr>
          <w:rFonts w:ascii="맑은 고딕" w:hAnsi="맑은 고딕"/>
          <w:b/>
          <w:color w:val="17365D"/>
          <w:sz w:val="28"/>
        </w:rPr>
        <w:t>12. 시범사업을 통한 단계적 시행</w:t>
      </w:r>
    </w:p>
    <w:p>
      <w:pPr>
        <w:spacing w:after="80"/>
      </w:pPr>
      <w:r>
        <w:rPr>
          <w:rFonts w:ascii="맑은 고딕" w:hAnsi="맑은 고딕"/>
          <w:sz w:val="21"/>
        </w:rPr>
        <w:t>전면 감차보다 일정 지역·시간대에서 먼저 검증하고, 효과가 확인되면 단계적으로 확대한다.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단계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내용</w:t>
            </w:r>
          </w:p>
        </w:tc>
        <w:tc>
          <w:tcPr>
            <w:tcW w:type="dxa" w:w="3400"/>
            <w:shd w:fill="17365D"/>
            <w:vAlign w:val="center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FFFFFF"/>
                <w:sz w:val="18"/>
              </w:rPr>
              <w:t>판단 기준</w:t>
            </w:r>
          </w:p>
        </w:tc>
      </w:tr>
      <w:tr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1단계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시간대별 수요·공급·공차거리 데이터 공개·분석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기초 공급과잉 확인</w:t>
            </w:r>
          </w:p>
        </w:tc>
      </w:tr>
      <w:tr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2단계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휴업·저가동 법인면허 중심 감차 시범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서비스 유지 여부</w:t>
            </w:r>
          </w:p>
        </w:tc>
      </w:tr>
      <w:tr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3단계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피크시간 탄력운행 제도 병행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대기시간·배차성공률</w:t>
            </w:r>
          </w:p>
        </w:tc>
      </w:tr>
      <w:tr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4단계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교통·환경·기사소득 사후평가</w:t>
            </w:r>
          </w:p>
        </w:tc>
        <w:tc>
          <w:tcPr>
            <w:tcW w:type="dxa" w:w="3400"/>
            <w:vAlign w:val="center"/>
            <w:shd w:fill="EAF2F8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순편익 확인</w:t>
            </w:r>
          </w:p>
        </w:tc>
      </w:tr>
      <w:tr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/>
                <w:color w:val="1F1F1F"/>
                <w:sz w:val="18"/>
              </w:rPr>
              <w:t>5단계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효과 확인 시 감차 확대</w:t>
            </w:r>
          </w:p>
        </w:tc>
        <w:tc>
          <w:tcPr>
            <w:tcW w:type="dxa" w:w="3400"/>
            <w:vAlign w:val="center"/>
            <w:shd w:fill="F7F9FB"/>
          </w:tcPr>
          <w:p>
            <w:pPr>
              <w:jc w:val="center"/>
            </w:pPr>
            <w:r>
              <w:rPr>
                <w:rFonts w:ascii="맑은 고딕" w:hAnsi="맑은 고딕"/>
                <w:b w:val="0"/>
                <w:color w:val="1F1F1F"/>
                <w:sz w:val="18"/>
              </w:rPr>
              <w:t>데이터 기반 총량 조정</w:t>
            </w:r>
          </w:p>
        </w:tc>
      </w:tr>
    </w:tbl>
    <w:p>
      <w:pPr>
        <w:spacing w:before="200" w:after="100"/>
      </w:pPr>
      <w:r>
        <w:rPr>
          <w:rFonts w:ascii="맑은 고딕" w:hAnsi="맑은 고딕"/>
          <w:b/>
          <w:color w:val="17365D"/>
          <w:sz w:val="28"/>
        </w:rPr>
        <w:t>13. 최종 정책 메시지</w:t>
      </w:r>
    </w:p>
    <w:p>
      <w:pPr>
        <w:spacing w:before="80"/>
      </w:pPr>
      <w:r>
        <w:rPr>
          <w:b/>
          <w:color w:val="17365D"/>
          <w:sz w:val="24"/>
        </w:rPr>
        <w:t>택시정책의 기준을 ‘차량 수’에서 ‘필요한 이동을 얼마나 효율적으로 제공하는가’로 전환해야 한다.</w:t>
      </w:r>
    </w:p>
    <w:p>
      <w:pPr>
        <w:pStyle w:val="ListBullet"/>
      </w:pPr>
      <w:r>
        <w:rPr>
          <w:rFonts w:ascii="맑은 고딕" w:hAnsi="맑은 고딕"/>
          <w:sz w:val="21"/>
        </w:rPr>
        <w:t>평상시 초과공급은 줄인다.</w:t>
      </w:r>
    </w:p>
    <w:p>
      <w:pPr>
        <w:pStyle w:val="ListBullet"/>
      </w:pPr>
      <w:r>
        <w:rPr>
          <w:rFonts w:ascii="맑은 고딕" w:hAnsi="맑은 고딕"/>
          <w:sz w:val="21"/>
        </w:rPr>
        <w:t>법인택시를 우선적으로 구조조정한다.</w:t>
      </w:r>
    </w:p>
    <w:p>
      <w:pPr>
        <w:pStyle w:val="ListBullet"/>
      </w:pPr>
      <w:r>
        <w:rPr>
          <w:rFonts w:ascii="맑은 고딕" w:hAnsi="맑은 고딕"/>
          <w:sz w:val="21"/>
        </w:rPr>
        <w:t>법인기사의 개인택시 전환을 지원한다.</w:t>
      </w:r>
    </w:p>
    <w:p>
      <w:pPr>
        <w:pStyle w:val="ListBullet"/>
      </w:pPr>
      <w:r>
        <w:rPr>
          <w:rFonts w:ascii="맑은 고딕" w:hAnsi="맑은 고딕"/>
          <w:sz w:val="21"/>
        </w:rPr>
        <w:t>피크시간은 탄력적으로 공급한다.</w:t>
      </w:r>
    </w:p>
    <w:p>
      <w:pPr>
        <w:pStyle w:val="ListBullet"/>
      </w:pPr>
      <w:r>
        <w:rPr>
          <w:rFonts w:ascii="맑은 고딕" w:hAnsi="맑은 고딕"/>
          <w:sz w:val="21"/>
        </w:rPr>
        <w:t>공차주행과 도로 점유를 줄인다.</w:t>
      </w:r>
    </w:p>
    <w:p>
      <w:pPr>
        <w:pStyle w:val="ListBullet"/>
      </w:pPr>
      <w:r>
        <w:rPr>
          <w:rFonts w:ascii="맑은 고딕" w:hAnsi="맑은 고딕"/>
          <w:sz w:val="21"/>
        </w:rPr>
        <w:t>교통·환경·에너지·노동·서비스 효과를 데이터로 평가한다.</w:t>
      </w:r>
    </w:p>
    <w:p>
      <w:pPr>
        <w:spacing w:before="160"/>
      </w:pPr>
      <w:r>
        <w:rPr>
          <w:i/>
          <w:color w:val="5A5A5A"/>
          <w:sz w:val="18"/>
        </w:rPr>
        <w:t>※ 본 제안은 정책 아이디어 초안이다. 실제 감차 규모와 효과는 서울시·국토교통부의 최신 시간대별 수요·공급·공차거리 자료를 이용한 실증분석을 거쳐 결정해야 한다.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